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029" w:type="dxa"/>
        <w:tblLook w:val="04A0" w:firstRow="1" w:lastRow="0" w:firstColumn="1" w:lastColumn="0" w:noHBand="0" w:noVBand="1"/>
      </w:tblPr>
      <w:tblGrid>
        <w:gridCol w:w="768"/>
        <w:gridCol w:w="2200"/>
        <w:gridCol w:w="2686"/>
        <w:gridCol w:w="4737"/>
        <w:gridCol w:w="3638"/>
      </w:tblGrid>
      <w:tr w:rsidR="005834FB" w14:paraId="3C3E3820" w14:textId="77777777" w:rsidTr="00681E52">
        <w:tc>
          <w:tcPr>
            <w:tcW w:w="768" w:type="dxa"/>
          </w:tcPr>
          <w:p w14:paraId="7E84ADCE" w14:textId="77777777" w:rsidR="005834FB" w:rsidRPr="005834FB" w:rsidRDefault="00971FA8" w:rsidP="00971FA8">
            <w:pPr>
              <w:rPr>
                <w:b/>
              </w:rPr>
            </w:pPr>
            <w:r>
              <w:rPr>
                <w:b/>
              </w:rPr>
              <w:t>Lp.</w:t>
            </w:r>
          </w:p>
        </w:tc>
        <w:tc>
          <w:tcPr>
            <w:tcW w:w="2200" w:type="dxa"/>
          </w:tcPr>
          <w:p w14:paraId="430CC5E6" w14:textId="77777777" w:rsidR="005834FB" w:rsidRPr="005834FB" w:rsidRDefault="005834FB" w:rsidP="00971FA8">
            <w:pPr>
              <w:rPr>
                <w:b/>
              </w:rPr>
            </w:pPr>
            <w:r w:rsidRPr="005834FB">
              <w:rPr>
                <w:b/>
              </w:rPr>
              <w:t>Podmiot zgłaszający uwagę</w:t>
            </w:r>
          </w:p>
        </w:tc>
        <w:tc>
          <w:tcPr>
            <w:tcW w:w="2686" w:type="dxa"/>
          </w:tcPr>
          <w:p w14:paraId="5C10F161" w14:textId="77777777" w:rsidR="005834FB" w:rsidRDefault="005834FB" w:rsidP="00971FA8">
            <w:r w:rsidRPr="005834FB">
              <w:rPr>
                <w:b/>
                <w:bCs/>
              </w:rPr>
              <w:t>Część dokumentu, do którego odnosi się uwaga</w:t>
            </w:r>
          </w:p>
        </w:tc>
        <w:tc>
          <w:tcPr>
            <w:tcW w:w="4737" w:type="dxa"/>
          </w:tcPr>
          <w:p w14:paraId="1108F480" w14:textId="77777777" w:rsidR="005834FB" w:rsidRPr="005834FB" w:rsidRDefault="005834FB" w:rsidP="00971FA8">
            <w:pPr>
              <w:rPr>
                <w:b/>
              </w:rPr>
            </w:pPr>
            <w:r w:rsidRPr="005834FB">
              <w:rPr>
                <w:b/>
              </w:rPr>
              <w:t>Treść uwagi</w:t>
            </w:r>
          </w:p>
        </w:tc>
        <w:tc>
          <w:tcPr>
            <w:tcW w:w="3638" w:type="dxa"/>
          </w:tcPr>
          <w:p w14:paraId="1F98994F" w14:textId="77777777" w:rsidR="005834FB" w:rsidRPr="005834FB" w:rsidRDefault="005834FB" w:rsidP="00971FA8">
            <w:pPr>
              <w:rPr>
                <w:b/>
              </w:rPr>
            </w:pPr>
            <w:r w:rsidRPr="005834FB">
              <w:rPr>
                <w:b/>
              </w:rPr>
              <w:t>Stanowisko</w:t>
            </w:r>
          </w:p>
        </w:tc>
      </w:tr>
      <w:tr w:rsidR="005834FB" w14:paraId="35389257" w14:textId="77777777" w:rsidTr="00681E52">
        <w:tc>
          <w:tcPr>
            <w:tcW w:w="768" w:type="dxa"/>
            <w:vAlign w:val="center"/>
          </w:tcPr>
          <w:p w14:paraId="39FC07F4" w14:textId="77777777" w:rsidR="005834FB" w:rsidRDefault="005834FB" w:rsidP="00971FA8">
            <w:pPr>
              <w:pStyle w:val="Akapitzlist"/>
              <w:numPr>
                <w:ilvl w:val="0"/>
                <w:numId w:val="1"/>
              </w:numPr>
            </w:pPr>
          </w:p>
        </w:tc>
        <w:tc>
          <w:tcPr>
            <w:tcW w:w="2200" w:type="dxa"/>
          </w:tcPr>
          <w:p w14:paraId="14C9FDCD" w14:textId="77777777" w:rsidR="005834FB" w:rsidRDefault="007B6DD1" w:rsidP="00971FA8">
            <w:r w:rsidRPr="007B6DD1">
              <w:t>Urząd Marszałkowski Województwa Mazowieckiego w Warszawie</w:t>
            </w:r>
          </w:p>
        </w:tc>
        <w:tc>
          <w:tcPr>
            <w:tcW w:w="2686" w:type="dxa"/>
          </w:tcPr>
          <w:p w14:paraId="241A5301" w14:textId="77777777" w:rsidR="007B6DD1" w:rsidRPr="007B6DD1" w:rsidRDefault="007B6DD1" w:rsidP="00971FA8">
            <w:r w:rsidRPr="007B6DD1">
              <w:t xml:space="preserve">Tabele działań </w:t>
            </w:r>
          </w:p>
          <w:p w14:paraId="20EF0350" w14:textId="77777777" w:rsidR="007B6DD1" w:rsidRPr="007B6DD1" w:rsidRDefault="007B6DD1" w:rsidP="00971FA8">
            <w:r w:rsidRPr="007B6DD1">
              <w:t>od DZIAŁANIE I.</w:t>
            </w:r>
            <w:r w:rsidRPr="007B6DD1">
              <w:rPr>
                <w:b/>
              </w:rPr>
              <w:t xml:space="preserve"> </w:t>
            </w:r>
            <w:r w:rsidRPr="007B6DD1">
              <w:t>1.1. do DZIAŁANIE V.1.1.</w:t>
            </w:r>
          </w:p>
          <w:p w14:paraId="0C5EE583" w14:textId="77777777" w:rsidR="005834FB" w:rsidRDefault="007B6DD1" w:rsidP="00971FA8">
            <w:r w:rsidRPr="007B6DD1">
              <w:t>str. od 55 do 99</w:t>
            </w:r>
          </w:p>
        </w:tc>
        <w:tc>
          <w:tcPr>
            <w:tcW w:w="4737" w:type="dxa"/>
          </w:tcPr>
          <w:p w14:paraId="2F979713" w14:textId="77777777" w:rsidR="007B6DD1" w:rsidRPr="007B6DD1" w:rsidRDefault="007B6DD1" w:rsidP="00971FA8">
            <w:r w:rsidRPr="007B6DD1">
              <w:t>Proponuje się włączenie samorządów jako podmiotów współpracujących przy realizacji poszczególnych działań.</w:t>
            </w:r>
          </w:p>
          <w:p w14:paraId="658B8E7D" w14:textId="77777777" w:rsidR="005834FB" w:rsidRPr="007B6DD1" w:rsidRDefault="007B6DD1" w:rsidP="00971FA8">
            <w:pPr>
              <w:rPr>
                <w:u w:val="single"/>
              </w:rPr>
            </w:pPr>
            <w:r w:rsidRPr="007B6DD1">
              <w:rPr>
                <w:u w:val="single"/>
              </w:rPr>
              <w:t>Uzasadnienie:</w:t>
            </w:r>
          </w:p>
          <w:p w14:paraId="35E64267" w14:textId="77777777" w:rsidR="007B6DD1" w:rsidRDefault="007B6DD1" w:rsidP="00971FA8">
            <w:r w:rsidRPr="007B6DD1">
              <w:t>Jednostki samorządu terytorialnego szczebla gminnego, powiatowego oraz wojewódzkiego uczestniczą w realizacji zadań pozostających w ich kompetencjach (w zadaniach ustawowych lub na przykład w roli organu nadzorującego czy założycielskiego jednostki odpowiedzialnej za wskazane zadania). Wymienione w Programie Rozwoju Kompetencji Cyfrowych działania wpisują się w zadania samorządów i ich jednostek podległych, co jednoznacznie uzasadnia konieczność włączenia samorządów w realizacje wskazanych zadań w charakterze Podmiotów współpracujących.</w:t>
            </w:r>
          </w:p>
        </w:tc>
        <w:tc>
          <w:tcPr>
            <w:tcW w:w="3638" w:type="dxa"/>
          </w:tcPr>
          <w:p w14:paraId="567E02E8" w14:textId="77777777" w:rsidR="008B5572" w:rsidRDefault="00474912" w:rsidP="00971FA8">
            <w:r>
              <w:t>U</w:t>
            </w:r>
            <w:r w:rsidR="008B5572">
              <w:t>waga u</w:t>
            </w:r>
            <w:r>
              <w:t>względnion</w:t>
            </w:r>
            <w:r w:rsidR="008B5572">
              <w:t>a</w:t>
            </w:r>
            <w:r>
              <w:t>.</w:t>
            </w:r>
          </w:p>
          <w:p w14:paraId="5D8E3FF5" w14:textId="3B4252E0" w:rsidR="005834FB" w:rsidRDefault="00474912" w:rsidP="00971FA8">
            <w:r>
              <w:t xml:space="preserve">Dodano </w:t>
            </w:r>
            <w:r w:rsidR="0014054D">
              <w:t>w działaniach, w których było to zasadne</w:t>
            </w:r>
            <w:r w:rsidR="006A1826">
              <w:t xml:space="preserve"> – działania: I.1.1, II.1.5, II.1.6, III.3.1, III.3.2, III.3.6, IV.1.1, IV.1.2, IV.1.3, IV.1.4</w:t>
            </w:r>
            <w:r w:rsidR="00304140">
              <w:t>.</w:t>
            </w:r>
          </w:p>
        </w:tc>
      </w:tr>
      <w:tr w:rsidR="005834FB" w14:paraId="50470F2B" w14:textId="77777777" w:rsidTr="00681E52">
        <w:tc>
          <w:tcPr>
            <w:tcW w:w="768" w:type="dxa"/>
            <w:vAlign w:val="center"/>
          </w:tcPr>
          <w:p w14:paraId="5652E281" w14:textId="77777777" w:rsidR="005834FB" w:rsidRDefault="005834FB" w:rsidP="00971FA8">
            <w:pPr>
              <w:pStyle w:val="Akapitzlist"/>
              <w:numPr>
                <w:ilvl w:val="0"/>
                <w:numId w:val="1"/>
              </w:numPr>
            </w:pPr>
          </w:p>
        </w:tc>
        <w:tc>
          <w:tcPr>
            <w:tcW w:w="2200" w:type="dxa"/>
          </w:tcPr>
          <w:p w14:paraId="44C852F8" w14:textId="77777777" w:rsidR="005834FB" w:rsidRDefault="007B6DD1" w:rsidP="00971FA8">
            <w:r w:rsidRPr="007B6DD1">
              <w:t>Urząd Marszałkowski Województwa Mazowieckiego w Warszawie</w:t>
            </w:r>
          </w:p>
        </w:tc>
        <w:tc>
          <w:tcPr>
            <w:tcW w:w="2686" w:type="dxa"/>
          </w:tcPr>
          <w:p w14:paraId="5423C158" w14:textId="77777777" w:rsidR="007B6DD1" w:rsidRPr="007B6DD1" w:rsidRDefault="007B6DD1" w:rsidP="00971FA8">
            <w:r w:rsidRPr="007B6DD1">
              <w:t>DZIAŁANIE II.1.5.</w:t>
            </w:r>
          </w:p>
          <w:p w14:paraId="7ABD3138" w14:textId="77777777" w:rsidR="005834FB" w:rsidRDefault="007B6DD1" w:rsidP="00971FA8">
            <w:r w:rsidRPr="007B6DD1">
              <w:t>str. 72</w:t>
            </w:r>
          </w:p>
        </w:tc>
        <w:tc>
          <w:tcPr>
            <w:tcW w:w="4737" w:type="dxa"/>
          </w:tcPr>
          <w:p w14:paraId="471632E5" w14:textId="77777777" w:rsidR="007B6DD1" w:rsidRPr="007B6DD1" w:rsidRDefault="007B6DD1" w:rsidP="00971FA8">
            <w:r w:rsidRPr="007B6DD1">
              <w:t xml:space="preserve">W działaniu II.1.5. „Szkolenia dla obywateli z kompetencji cyfrowych” wskazano gminy jako podmioty współpracujące przy realizacji działania. </w:t>
            </w:r>
          </w:p>
          <w:p w14:paraId="39AB5747" w14:textId="77777777" w:rsidR="005834FB" w:rsidRDefault="007B6DD1" w:rsidP="00971FA8">
            <w:r w:rsidRPr="007B6DD1">
              <w:t>Proponuje się o  uzupełnienie wykazu podmiotów współpracujących także z jednostkami samorządowymi szczebla powiatowego i wojewódzkiego.</w:t>
            </w:r>
          </w:p>
          <w:p w14:paraId="7D4021B2" w14:textId="77777777" w:rsidR="007B6DD1" w:rsidRPr="007B6DD1" w:rsidRDefault="007B6DD1" w:rsidP="00971FA8">
            <w:pPr>
              <w:rPr>
                <w:u w:val="single"/>
              </w:rPr>
            </w:pPr>
            <w:r w:rsidRPr="007B6DD1">
              <w:rPr>
                <w:u w:val="single"/>
              </w:rPr>
              <w:t>Uzasadnienie:</w:t>
            </w:r>
          </w:p>
          <w:p w14:paraId="2059A0E1" w14:textId="77777777" w:rsidR="007B6DD1" w:rsidRDefault="007B6DD1" w:rsidP="00971FA8">
            <w:r w:rsidRPr="007B6DD1">
              <w:t xml:space="preserve">Wymienione w działaniu II.1.5. zadania związane z dostępem obywateli do usług administracji publicznej są także realizowane przez jednostki szczebla powiatowego i wojewódzkiego, a usługi on-line są udostępniane dla mieszkańców i przedsiębiorców na platformach regionalnych </w:t>
            </w:r>
            <w:r w:rsidRPr="007B6DD1">
              <w:lastRenderedPageBreak/>
              <w:t>takich jak Wrota Mazowsza, zapewniających zunifikowany system obsługi wniosków. Udział jednostek szczebla powiatowego i wojewódzkiego wydaje się zatem niezbędny w procesach realizacji działania II.1.5.</w:t>
            </w:r>
          </w:p>
        </w:tc>
        <w:tc>
          <w:tcPr>
            <w:tcW w:w="3638" w:type="dxa"/>
          </w:tcPr>
          <w:p w14:paraId="297D8AEA" w14:textId="45AC9016" w:rsidR="005834FB" w:rsidRPr="005677D8" w:rsidRDefault="00FA48B9" w:rsidP="00971FA8">
            <w:pPr>
              <w:rPr>
                <w:highlight w:val="yellow"/>
              </w:rPr>
            </w:pPr>
            <w:r w:rsidRPr="0014054D">
              <w:lastRenderedPageBreak/>
              <w:t>U</w:t>
            </w:r>
            <w:r w:rsidR="008B5572">
              <w:t>waga u</w:t>
            </w:r>
            <w:r w:rsidR="00374E85">
              <w:t>względnion</w:t>
            </w:r>
            <w:r w:rsidR="008B5572">
              <w:t>a</w:t>
            </w:r>
            <w:r w:rsidR="00686752">
              <w:t>.</w:t>
            </w:r>
          </w:p>
        </w:tc>
      </w:tr>
      <w:tr w:rsidR="005834FB" w14:paraId="26668293" w14:textId="77777777" w:rsidTr="00681E52">
        <w:tc>
          <w:tcPr>
            <w:tcW w:w="768" w:type="dxa"/>
            <w:vAlign w:val="center"/>
          </w:tcPr>
          <w:p w14:paraId="511DCE7E" w14:textId="77777777" w:rsidR="005834FB" w:rsidRDefault="005834FB" w:rsidP="00971FA8">
            <w:pPr>
              <w:pStyle w:val="Akapitzlist"/>
              <w:numPr>
                <w:ilvl w:val="0"/>
                <w:numId w:val="1"/>
              </w:numPr>
            </w:pPr>
          </w:p>
        </w:tc>
        <w:tc>
          <w:tcPr>
            <w:tcW w:w="2200" w:type="dxa"/>
          </w:tcPr>
          <w:p w14:paraId="7F87AADC" w14:textId="77777777" w:rsidR="005834FB" w:rsidRDefault="007B6DD1" w:rsidP="00971FA8">
            <w:r w:rsidRPr="007B6DD1">
              <w:t>Urząd Marszałkowski Województwa Mazowieckiego w Warszawie</w:t>
            </w:r>
          </w:p>
        </w:tc>
        <w:tc>
          <w:tcPr>
            <w:tcW w:w="2686" w:type="dxa"/>
          </w:tcPr>
          <w:p w14:paraId="12B2BA21" w14:textId="77777777" w:rsidR="007B6DD1" w:rsidRPr="007B6DD1" w:rsidRDefault="007B6DD1" w:rsidP="00971FA8">
            <w:r w:rsidRPr="007B6DD1">
              <w:t xml:space="preserve">Tabela 6 Podział zadań w realizacji PRKC </w:t>
            </w:r>
          </w:p>
          <w:p w14:paraId="6D9B2F5F" w14:textId="77777777" w:rsidR="005834FB" w:rsidRDefault="007B6DD1" w:rsidP="00971FA8">
            <w:r w:rsidRPr="007B6DD1">
              <w:t>str. 100</w:t>
            </w:r>
          </w:p>
        </w:tc>
        <w:tc>
          <w:tcPr>
            <w:tcW w:w="4737" w:type="dxa"/>
          </w:tcPr>
          <w:p w14:paraId="75752FDE" w14:textId="77777777" w:rsidR="007B6DD1" w:rsidRPr="007B6DD1" w:rsidRDefault="007B6DD1" w:rsidP="00971FA8">
            <w:r w:rsidRPr="007B6DD1">
              <w:t>Proponuje się włączenie samorządów jako podmiotów współpracujących przy realizacji poszczególnych działań.</w:t>
            </w:r>
          </w:p>
          <w:p w14:paraId="2BBA4844" w14:textId="77777777" w:rsidR="005834FB" w:rsidRPr="00577E23" w:rsidRDefault="007B6DD1" w:rsidP="00971FA8">
            <w:pPr>
              <w:rPr>
                <w:u w:val="single"/>
              </w:rPr>
            </w:pPr>
            <w:r w:rsidRPr="00577E23">
              <w:rPr>
                <w:u w:val="single"/>
              </w:rPr>
              <w:t>Uzasadnienie:</w:t>
            </w:r>
          </w:p>
          <w:p w14:paraId="247332D8" w14:textId="77777777" w:rsidR="007B6DD1" w:rsidRDefault="007B6DD1" w:rsidP="00971FA8">
            <w:r>
              <w:t>Jednostki</w:t>
            </w:r>
            <w:r w:rsidRPr="007B6DD1">
              <w:t xml:space="preserve"> samorządu terytorialnego szczebla gminnego, powiatowego oraz wojewódzkiego uczestniczą w realizacji zadań pozostających w ich kompetencjach (w zadaniach ustawowych lub na przykład w roli organu nadzorującego czy założycielskiego jednostki odpowiedzialnej za wskazane zadania). Wymienione w Programie Rozwoju Kompetencji Cyfrowych działania wpisują się w zadania samorządów i ich jednostek podległych, co jednoznacznie uzasadnia konieczność włączenia samorządów w realizacje wskazanych zadań w charakterze Podmiotów współpracujących.</w:t>
            </w:r>
          </w:p>
        </w:tc>
        <w:tc>
          <w:tcPr>
            <w:tcW w:w="3638" w:type="dxa"/>
          </w:tcPr>
          <w:p w14:paraId="51C417A9" w14:textId="77777777" w:rsidR="008B5572" w:rsidRDefault="00474912" w:rsidP="00971FA8">
            <w:r>
              <w:t>U</w:t>
            </w:r>
            <w:r w:rsidR="008B5572">
              <w:t>waga u</w:t>
            </w:r>
            <w:r>
              <w:t>względnio</w:t>
            </w:r>
            <w:r w:rsidR="008B5572">
              <w:t>na</w:t>
            </w:r>
            <w:r>
              <w:t>.</w:t>
            </w:r>
          </w:p>
          <w:p w14:paraId="72724FA6" w14:textId="750EBF0C" w:rsidR="005834FB" w:rsidRPr="008B5572" w:rsidRDefault="00474912" w:rsidP="00971FA8">
            <w:r>
              <w:t xml:space="preserve"> Dodano w działaniach, </w:t>
            </w:r>
            <w:r w:rsidR="0014054D">
              <w:t>w których było to zasadne</w:t>
            </w:r>
            <w:r w:rsidR="006A1826">
              <w:t xml:space="preserve"> – działania: I.1.1, II.1.5, II.1.6, III.3.1, III.3.2, III.3.6, IV.1.1, IV.1.2, IV.1.3, IV.1.4</w:t>
            </w:r>
            <w:r w:rsidR="00304140">
              <w:t>.</w:t>
            </w:r>
          </w:p>
        </w:tc>
      </w:tr>
      <w:tr w:rsidR="005834FB" w14:paraId="01890A59" w14:textId="77777777" w:rsidTr="00681E52">
        <w:tc>
          <w:tcPr>
            <w:tcW w:w="768" w:type="dxa"/>
            <w:vAlign w:val="center"/>
          </w:tcPr>
          <w:p w14:paraId="45AC1133" w14:textId="77777777" w:rsidR="005834FB" w:rsidRDefault="005834FB" w:rsidP="00971FA8">
            <w:pPr>
              <w:pStyle w:val="Akapitzlist"/>
              <w:numPr>
                <w:ilvl w:val="0"/>
                <w:numId w:val="1"/>
              </w:numPr>
            </w:pPr>
          </w:p>
        </w:tc>
        <w:tc>
          <w:tcPr>
            <w:tcW w:w="2200" w:type="dxa"/>
          </w:tcPr>
          <w:p w14:paraId="751CBC86" w14:textId="77777777" w:rsidR="005834FB" w:rsidRDefault="007B6DD1" w:rsidP="00971FA8">
            <w:r w:rsidRPr="007B6DD1">
              <w:t>Urząd Marszałkowski Województwa Mazowieckiego w Warszawie</w:t>
            </w:r>
          </w:p>
        </w:tc>
        <w:tc>
          <w:tcPr>
            <w:tcW w:w="2686" w:type="dxa"/>
          </w:tcPr>
          <w:p w14:paraId="6A794934" w14:textId="77777777" w:rsidR="00577E23" w:rsidRPr="00577E23" w:rsidRDefault="00577E23" w:rsidP="00971FA8">
            <w:r w:rsidRPr="00577E23">
              <w:t xml:space="preserve">Tabela 7 w części „III.3.10.Poprawa dojrzałości cyfrowej placówek medycznych i instytucji ochrony zdrowia poprzez wzmocnienie kompetencji cyfrowych”. </w:t>
            </w:r>
          </w:p>
          <w:p w14:paraId="49FA38B7" w14:textId="77777777" w:rsidR="005834FB" w:rsidRDefault="00577E23" w:rsidP="00971FA8">
            <w:r w:rsidRPr="00577E23">
              <w:t>str. 108</w:t>
            </w:r>
          </w:p>
        </w:tc>
        <w:tc>
          <w:tcPr>
            <w:tcW w:w="4737" w:type="dxa"/>
          </w:tcPr>
          <w:p w14:paraId="1F5EA2BE" w14:textId="77777777" w:rsidR="00577E23" w:rsidRDefault="00577E23" w:rsidP="00971FA8">
            <w:r w:rsidRPr="00577E23">
              <w:t>Konieczna jest weryfikacja zapisu potencjalnego źródła finasowania  dla planowanego obciążania regionalnych instrumentów finansowych w zakresie kosztów inwestycji nadzorowanych na poziomie krajowym.</w:t>
            </w:r>
          </w:p>
          <w:p w14:paraId="0C9619D6" w14:textId="77777777" w:rsidR="00577E23" w:rsidRPr="00577E23" w:rsidRDefault="00577E23" w:rsidP="00971FA8">
            <w:pPr>
              <w:rPr>
                <w:u w:val="single"/>
              </w:rPr>
            </w:pPr>
            <w:r w:rsidRPr="00577E23">
              <w:rPr>
                <w:u w:val="single"/>
              </w:rPr>
              <w:t>Uzasadnienie:</w:t>
            </w:r>
          </w:p>
          <w:p w14:paraId="7569CCCE" w14:textId="77777777" w:rsidR="00577E23" w:rsidRPr="00577E23" w:rsidRDefault="00577E23" w:rsidP="00971FA8">
            <w:r w:rsidRPr="00577E23">
              <w:t xml:space="preserve">Podział dotacji unijnych na instrumenty krajowe (PO) i regionalne (RPO) oraz zawierane umowy partnerstwa i wyznaczane linie demarkacyjne kształtują podział środków na inwestycje w poszczególnych poziomach zarządzania. Środki </w:t>
            </w:r>
            <w:r w:rsidRPr="00577E23">
              <w:lastRenderedPageBreak/>
              <w:t>pochodzące z Regionalnych Programów Operacyjnych 2021-2027 nie powinny pokrywać kosztów działań ogólnokrajowych objętych Programem Rozwoju Kompetencji Cyfrowych.</w:t>
            </w:r>
          </w:p>
          <w:p w14:paraId="76E2DF29" w14:textId="77777777" w:rsidR="005834FB" w:rsidRDefault="005834FB" w:rsidP="00971FA8"/>
        </w:tc>
        <w:tc>
          <w:tcPr>
            <w:tcW w:w="3638" w:type="dxa"/>
          </w:tcPr>
          <w:p w14:paraId="7898307C" w14:textId="08208891" w:rsidR="005834FB" w:rsidRDefault="000D1E8B" w:rsidP="00971FA8">
            <w:r w:rsidRPr="0014054D">
              <w:lastRenderedPageBreak/>
              <w:t>U</w:t>
            </w:r>
            <w:r w:rsidR="008B5572">
              <w:t>waga u</w:t>
            </w:r>
            <w:r>
              <w:t>względnion</w:t>
            </w:r>
            <w:r w:rsidR="008B5572">
              <w:t>a</w:t>
            </w:r>
            <w:r w:rsidR="00686752">
              <w:t>.</w:t>
            </w:r>
          </w:p>
        </w:tc>
      </w:tr>
      <w:tr w:rsidR="005834FB" w14:paraId="6A322E4F" w14:textId="77777777" w:rsidTr="00681E52">
        <w:tc>
          <w:tcPr>
            <w:tcW w:w="768" w:type="dxa"/>
            <w:vAlign w:val="center"/>
          </w:tcPr>
          <w:p w14:paraId="015EB135" w14:textId="77777777" w:rsidR="005834FB" w:rsidRDefault="005834FB" w:rsidP="00971FA8">
            <w:pPr>
              <w:pStyle w:val="Akapitzlist"/>
              <w:numPr>
                <w:ilvl w:val="0"/>
                <w:numId w:val="1"/>
              </w:numPr>
            </w:pPr>
          </w:p>
        </w:tc>
        <w:tc>
          <w:tcPr>
            <w:tcW w:w="2200" w:type="dxa"/>
          </w:tcPr>
          <w:p w14:paraId="28C0EC90" w14:textId="77777777" w:rsidR="005834FB" w:rsidRDefault="00577E23" w:rsidP="00971FA8">
            <w:r w:rsidRPr="00577E23">
              <w:t>Urząd Marszałkowski Województwa Mazowieckiego w Warszawie</w:t>
            </w:r>
          </w:p>
        </w:tc>
        <w:tc>
          <w:tcPr>
            <w:tcW w:w="2686" w:type="dxa"/>
          </w:tcPr>
          <w:p w14:paraId="0C401908" w14:textId="77777777" w:rsidR="005834FB" w:rsidRDefault="00577E23" w:rsidP="00971FA8">
            <w:r w:rsidRPr="00577E23">
              <w:t>Cały dokument</w:t>
            </w:r>
          </w:p>
        </w:tc>
        <w:tc>
          <w:tcPr>
            <w:tcW w:w="4737" w:type="dxa"/>
          </w:tcPr>
          <w:p w14:paraId="120D0264" w14:textId="77777777" w:rsidR="005834FB" w:rsidRDefault="00577E23" w:rsidP="00971FA8">
            <w:r w:rsidRPr="00577E23">
              <w:t>Proponuje się korektę pisowni wyrazu „</w:t>
            </w:r>
            <w:proofErr w:type="spellStart"/>
            <w:r w:rsidRPr="00577E23">
              <w:t>internet</w:t>
            </w:r>
            <w:proofErr w:type="spellEnd"/>
            <w:r w:rsidRPr="00577E23">
              <w:t>” na „Internet” pisany wielką literą.</w:t>
            </w:r>
          </w:p>
          <w:p w14:paraId="1821742F" w14:textId="77777777" w:rsidR="00577E23" w:rsidRPr="00577E23" w:rsidRDefault="00577E23" w:rsidP="00971FA8">
            <w:pPr>
              <w:rPr>
                <w:u w:val="single"/>
              </w:rPr>
            </w:pPr>
            <w:r w:rsidRPr="00577E23">
              <w:rPr>
                <w:u w:val="single"/>
              </w:rPr>
              <w:t>Uzasadnienie:</w:t>
            </w:r>
          </w:p>
          <w:p w14:paraId="5672F398" w14:textId="77777777" w:rsidR="00577E23" w:rsidRPr="00577E23" w:rsidRDefault="00577E23" w:rsidP="00971FA8">
            <w:r w:rsidRPr="00577E23">
              <w:t>Zgodnie z  encyklopedią PWN – w znaczeniu globalnej sieci powinniśmy pisać „Internet” z wielkiej litery.</w:t>
            </w:r>
          </w:p>
          <w:p w14:paraId="12F7FF7A" w14:textId="77777777" w:rsidR="00577E23" w:rsidRPr="00474912" w:rsidRDefault="00686752" w:rsidP="00971FA8">
            <w:hyperlink r:id="rId6" w:history="1">
              <w:r w:rsidR="00577E23" w:rsidRPr="00474912">
                <w:rPr>
                  <w:rStyle w:val="Hipercze"/>
                  <w:color w:val="auto"/>
                  <w:u w:val="none"/>
                </w:rPr>
                <w:t>https://sjp.pwn.pl/poradnia/haslo/Internet-czy-internet;228.html</w:t>
              </w:r>
            </w:hyperlink>
            <w:r w:rsidR="00577E23" w:rsidRPr="00474912">
              <w:t xml:space="preserve"> </w:t>
            </w:r>
          </w:p>
          <w:p w14:paraId="4F10A0AB" w14:textId="77777777" w:rsidR="00577E23" w:rsidRDefault="00577E23" w:rsidP="00971FA8"/>
        </w:tc>
        <w:tc>
          <w:tcPr>
            <w:tcW w:w="3638" w:type="dxa"/>
          </w:tcPr>
          <w:p w14:paraId="7A641E16" w14:textId="6323DDB8" w:rsidR="008B5572" w:rsidRDefault="008B5572" w:rsidP="00971FA8">
            <w:r>
              <w:t>Uwaga wyjaśniona</w:t>
            </w:r>
            <w:r w:rsidR="00686752">
              <w:t>.</w:t>
            </w:r>
          </w:p>
          <w:p w14:paraId="4BF0A68C" w14:textId="6DE326BA" w:rsidR="005834FB" w:rsidRDefault="00350644" w:rsidP="00971FA8">
            <w:r>
              <w:t xml:space="preserve"> O</w:t>
            </w:r>
            <w:r w:rsidR="005677D8" w:rsidRPr="00350644">
              <w:t xml:space="preserve">bie formy są poprawne, zwłaszcza, że w większości przypadków </w:t>
            </w:r>
            <w:r w:rsidR="005677D8" w:rsidRPr="00350644">
              <w:rPr>
                <w:rStyle w:val="hgkelc"/>
              </w:rPr>
              <w:t>mamy na myśli medium</w:t>
            </w:r>
            <w:r>
              <w:rPr>
                <w:rStyle w:val="hgkelc"/>
              </w:rPr>
              <w:t>.</w:t>
            </w:r>
          </w:p>
        </w:tc>
      </w:tr>
      <w:tr w:rsidR="005834FB" w14:paraId="5CA151BB" w14:textId="77777777" w:rsidTr="00681E52">
        <w:tc>
          <w:tcPr>
            <w:tcW w:w="768" w:type="dxa"/>
            <w:vAlign w:val="center"/>
          </w:tcPr>
          <w:p w14:paraId="1941D5FA" w14:textId="77777777" w:rsidR="005834FB" w:rsidRDefault="005834FB" w:rsidP="00971FA8">
            <w:pPr>
              <w:pStyle w:val="Akapitzlist"/>
              <w:numPr>
                <w:ilvl w:val="0"/>
                <w:numId w:val="1"/>
              </w:numPr>
            </w:pPr>
          </w:p>
        </w:tc>
        <w:tc>
          <w:tcPr>
            <w:tcW w:w="2200" w:type="dxa"/>
          </w:tcPr>
          <w:p w14:paraId="0DBA889A" w14:textId="77777777" w:rsidR="005834FB" w:rsidRDefault="00736FCA" w:rsidP="00971FA8">
            <w:r>
              <w:t>Krajowa Rada Radiofonii i Telewizji</w:t>
            </w:r>
          </w:p>
        </w:tc>
        <w:tc>
          <w:tcPr>
            <w:tcW w:w="2686" w:type="dxa"/>
          </w:tcPr>
          <w:p w14:paraId="481738F0" w14:textId="77777777" w:rsidR="005834FB" w:rsidRDefault="00736FCA" w:rsidP="00971FA8">
            <w:r>
              <w:t>Uwaga ogólna</w:t>
            </w:r>
            <w:r w:rsidR="000D79B3">
              <w:t>, uszczegółowiona poniżej</w:t>
            </w:r>
          </w:p>
        </w:tc>
        <w:tc>
          <w:tcPr>
            <w:tcW w:w="4737" w:type="dxa"/>
          </w:tcPr>
          <w:p w14:paraId="3DF0237B" w14:textId="77777777" w:rsidR="00736FCA" w:rsidRDefault="00736FCA" w:rsidP="00971FA8">
            <w:r>
              <w:t>W</w:t>
            </w:r>
            <w:r w:rsidRPr="00736FCA">
              <w:t>łączenie do ww. „Programu" definicji i celów edukacji medialnej zgodnie z tym, jak zostały one zdefiniowane na gruncie dyrektywy 201871808 (znowelizowana dyrektywa o audiowizualnych usługach medialnych) oraz o ich wyraźniejsze odzwierciedlenie, tam gdzie ma to zastosowanie, w działaniach Priorytetu I „Rozwój edu</w:t>
            </w:r>
            <w:r>
              <w:t>kacji cyfrowej" oraz Priorytetu II</w:t>
            </w:r>
            <w:r w:rsidRPr="00736FCA">
              <w:rPr>
                <w:b/>
              </w:rPr>
              <w:t xml:space="preserve"> </w:t>
            </w:r>
            <w:r w:rsidRPr="00736FCA">
              <w:t>„Zapewnienie każdemu możliwości rozwoju kompetencji cyfrowych".</w:t>
            </w:r>
            <w:r>
              <w:t xml:space="preserve"> </w:t>
            </w:r>
          </w:p>
          <w:p w14:paraId="408E0CC9" w14:textId="77777777" w:rsidR="005834FB" w:rsidRDefault="00736FCA" w:rsidP="00971FA8">
            <w:r w:rsidRPr="00736FCA">
              <w:t xml:space="preserve">Zgodnie z treścią ww. dyrektywy „umiejętność korzystania z mediów (ang. media </w:t>
            </w:r>
            <w:proofErr w:type="spellStart"/>
            <w:r w:rsidRPr="00736FCA">
              <w:t>literacy</w:t>
            </w:r>
            <w:proofErr w:type="spellEnd"/>
            <w:r w:rsidRPr="00736FCA">
              <w:t xml:space="preserve">) oznacza umiejętności, wiedzę i rozumienie, które pozwalają obywatelom skutecznie i bezpiecznie używać mediów. Aby obywatele mieli możliwość dotarcia do informacji oraz odpowiedzialnie i bezpiecznie wykorzystywali, krytycznie oceniali i tworzyli treści medialne, muszą posiąść zaawansowane umiejętności korzystania z </w:t>
            </w:r>
            <w:r w:rsidRPr="00736FCA">
              <w:lastRenderedPageBreak/>
              <w:t>mediów. Umiejętność korzystania z mediów nie powinna być ograniczona do zdobywania wiedzy narzędziach i technologiach, ale powinna mieć na celu wyposażanie obywateli w umiejętność krytycznego myślenia niezbędną do dokonywania ocen, analizowani</w:t>
            </w:r>
            <w:r>
              <w:t>a złożonych realiów oraz odróżn</w:t>
            </w:r>
            <w:r w:rsidRPr="00736FCA">
              <w:t>iania opinii od faktów".</w:t>
            </w:r>
            <w:r>
              <w:t xml:space="preserve"> </w:t>
            </w:r>
            <w:r w:rsidRPr="00736FCA">
              <w:t>Ponadto, ww. dyrektywa nakłada na państwa członkowskie obowiązek promowania rozwoju umiejętności korzystania z mediów i stosowania środków w tym zakresie, a także: zobowiązuje państwa członkowskie do składania Komisji Europejskiej cyklicznych sprawozdań z wdrażania tych obowiązków (art. 33a). Ponieważ ustawodawca RP wyznaczył Krajową Radę Radiofonii i Telewizji jako sprawozdawcę w ww. zakresie, zwracam się z uprzejmą prośbą o włączenie KRRiT do obiegu informacji na temat realizacji ww. „Programu", a także o wskazanie</w:t>
            </w:r>
            <w:r>
              <w:t xml:space="preserve"> </w:t>
            </w:r>
            <w:r w:rsidRPr="00736FCA">
              <w:t>Krajowej Rady jako podmiotu współpracującego w zakresie niektórych działań ,Programu" (działanie 1.1.2. „Monitorowanie funkcjonowania w pra</w:t>
            </w:r>
            <w:r>
              <w:t>ktyce szkolnej podstawy programowej</w:t>
            </w:r>
            <w:r w:rsidRPr="00736FCA">
              <w:t xml:space="preserve"> w obszarze rozwijania umiejętności cyfrowych dzieci i młodzieży" oraz działania dat. kampanii edukacyjno-informacyjne na rzecz rozwoju społeczeństwa informacyjnego, w tym kompetencji cyfrowych).</w:t>
            </w:r>
          </w:p>
        </w:tc>
        <w:tc>
          <w:tcPr>
            <w:tcW w:w="3638" w:type="dxa"/>
          </w:tcPr>
          <w:p w14:paraId="248D5276" w14:textId="71FDBAC6" w:rsidR="005834FB" w:rsidRDefault="000D1E8B" w:rsidP="00971FA8">
            <w:r w:rsidRPr="000D1E8B">
              <w:lastRenderedPageBreak/>
              <w:t>U</w:t>
            </w:r>
            <w:r w:rsidR="00D3747D">
              <w:t>waga u</w:t>
            </w:r>
            <w:r w:rsidRPr="000D1E8B">
              <w:t>względnion</w:t>
            </w:r>
            <w:r w:rsidR="00D3747D">
              <w:t>a</w:t>
            </w:r>
            <w:r w:rsidR="00686752">
              <w:t>.</w:t>
            </w:r>
          </w:p>
        </w:tc>
      </w:tr>
      <w:tr w:rsidR="005834FB" w14:paraId="2CE7BD4A" w14:textId="77777777" w:rsidTr="00681E52">
        <w:tc>
          <w:tcPr>
            <w:tcW w:w="768" w:type="dxa"/>
            <w:vAlign w:val="center"/>
          </w:tcPr>
          <w:p w14:paraId="33C95D1C" w14:textId="77777777" w:rsidR="005834FB" w:rsidRDefault="005834FB" w:rsidP="00971FA8">
            <w:pPr>
              <w:pStyle w:val="Akapitzlist"/>
              <w:numPr>
                <w:ilvl w:val="0"/>
                <w:numId w:val="1"/>
              </w:numPr>
            </w:pPr>
          </w:p>
        </w:tc>
        <w:tc>
          <w:tcPr>
            <w:tcW w:w="2200" w:type="dxa"/>
          </w:tcPr>
          <w:p w14:paraId="4F05BD68" w14:textId="77777777" w:rsidR="005834FB" w:rsidRDefault="00736FCA" w:rsidP="00971FA8">
            <w:r>
              <w:t>Krajowa Rada Radiofonii i Telewizji</w:t>
            </w:r>
          </w:p>
        </w:tc>
        <w:tc>
          <w:tcPr>
            <w:tcW w:w="2686" w:type="dxa"/>
          </w:tcPr>
          <w:p w14:paraId="2A402E80" w14:textId="77777777" w:rsidR="005834FB" w:rsidRDefault="00736FCA" w:rsidP="00971FA8">
            <w:pPr>
              <w:pStyle w:val="Akapitzlist"/>
              <w:numPr>
                <w:ilvl w:val="0"/>
                <w:numId w:val="2"/>
              </w:numPr>
            </w:pPr>
            <w:r>
              <w:t>Wykaz skrótów i pojęć</w:t>
            </w:r>
          </w:p>
        </w:tc>
        <w:tc>
          <w:tcPr>
            <w:tcW w:w="4737" w:type="dxa"/>
          </w:tcPr>
          <w:p w14:paraId="7B44B7AB" w14:textId="77777777" w:rsidR="005834FB" w:rsidRDefault="00736FCA" w:rsidP="00971FA8">
            <w:r>
              <w:t xml:space="preserve">Algorytmika: </w:t>
            </w:r>
            <w:r w:rsidRPr="00736FCA">
              <w:t xml:space="preserve">Obszar wiedzy i doświadczeń dotyczących algorytmów, będący jednym z obszarów tematycznych informatyki. Algorytm to ciąg jasno zdefiniowanych czynności koniecznych do wykonania zadania, uporządkowany sposób postępowania prowadzący do rozwiązania </w:t>
            </w:r>
            <w:r w:rsidRPr="00736FCA">
              <w:lastRenderedPageBreak/>
              <w:t xml:space="preserve">problemu. Obejmuje kroki od sformułowania zadania, określenia danych wyjściowych i celu, czyli wyniku, przez opracowanie metody rozwiązania, przedstawienie algorytmu, po analizę poprawności rozwiązania i jego przetestowanie. </w:t>
            </w:r>
            <w:r w:rsidRPr="00841BA2">
              <w:rPr>
                <w:color w:val="000000" w:themeColor="text1"/>
              </w:rPr>
              <w:t>Działania algorytmiczne w procesie podejmowania decyzji.</w:t>
            </w:r>
          </w:p>
          <w:p w14:paraId="16470CCA" w14:textId="77777777" w:rsidR="00736FCA" w:rsidRDefault="00736FCA" w:rsidP="00971FA8">
            <w:proofErr w:type="spellStart"/>
            <w:r>
              <w:t>Datafikacja</w:t>
            </w:r>
            <w:proofErr w:type="spellEnd"/>
            <w:r>
              <w:t xml:space="preserve">: </w:t>
            </w:r>
            <w:r w:rsidRPr="00736FCA">
              <w:t xml:space="preserve">Pozyskiwanie danych poprzez tworzenie cyfrowych reprezentacji świata rzeczywistego w wyniku </w:t>
            </w:r>
            <w:proofErr w:type="spellStart"/>
            <w:r w:rsidRPr="00736FCA">
              <w:t>digityzacji</w:t>
            </w:r>
            <w:proofErr w:type="spellEnd"/>
            <w:r w:rsidRPr="00736FCA">
              <w:t xml:space="preserve">; integracja (przetwarzanie i łączenie zbiorów danych) i analiza danych z wykorzystaniem algorytmów; czerpanie wartości ekonomicznej, społecznej lub politycznej z pozyskanych w ten sposób informacji. Technologie służące gromadzeniu, integracji i analizie danych określamy mianem technologii </w:t>
            </w:r>
            <w:proofErr w:type="spellStart"/>
            <w:r w:rsidRPr="00736FCA">
              <w:t>datafikacji</w:t>
            </w:r>
            <w:proofErr w:type="spellEnd"/>
            <w:r w:rsidRPr="00736FCA">
              <w:t xml:space="preserve">. </w:t>
            </w:r>
            <w:r w:rsidRPr="00841BA2">
              <w:rPr>
                <w:color w:val="000000" w:themeColor="text1"/>
              </w:rPr>
              <w:t xml:space="preserve">Zagrożenia wynikające z </w:t>
            </w:r>
            <w:proofErr w:type="spellStart"/>
            <w:r w:rsidRPr="00841BA2">
              <w:rPr>
                <w:color w:val="000000" w:themeColor="text1"/>
              </w:rPr>
              <w:t>targetowania</w:t>
            </w:r>
            <w:proofErr w:type="spellEnd"/>
            <w:r w:rsidRPr="00841BA2">
              <w:rPr>
                <w:color w:val="000000" w:themeColor="text1"/>
              </w:rPr>
              <w:t>.</w:t>
            </w:r>
          </w:p>
          <w:p w14:paraId="3EC269FD" w14:textId="77777777" w:rsidR="00736FCA" w:rsidRPr="00841BA2" w:rsidRDefault="00736FCA" w:rsidP="00971FA8">
            <w:pPr>
              <w:rPr>
                <w:color w:val="000000" w:themeColor="text1"/>
              </w:rPr>
            </w:pPr>
            <w:r>
              <w:t xml:space="preserve">Higiena cyfrowa: </w:t>
            </w:r>
            <w:r w:rsidRPr="00736FCA">
              <w:t xml:space="preserve">Inaczej </w:t>
            </w:r>
            <w:proofErr w:type="spellStart"/>
            <w:r w:rsidRPr="00736FCA">
              <w:t>cyberhigiena</w:t>
            </w:r>
            <w:proofErr w:type="spellEnd"/>
            <w:r w:rsidRPr="00736FCA">
              <w:t xml:space="preserve">, zestaw </w:t>
            </w:r>
            <w:r w:rsidRPr="00841BA2">
              <w:rPr>
                <w:color w:val="000000" w:themeColor="text1"/>
              </w:rPr>
              <w:t>kompetencji obejmujący procedury postępowania, które sprawiają, że korzystanie z narzędzi cyfrowych jest jednocześnie efektywne, komfortowe i bezpieczne. Składają się na nie:</w:t>
            </w:r>
          </w:p>
          <w:p w14:paraId="4368E920" w14:textId="77777777" w:rsidR="00736FCA" w:rsidRPr="00841BA2" w:rsidRDefault="00736FCA" w:rsidP="00971FA8">
            <w:pPr>
              <w:numPr>
                <w:ilvl w:val="0"/>
                <w:numId w:val="3"/>
              </w:numPr>
              <w:rPr>
                <w:color w:val="000000" w:themeColor="text1"/>
              </w:rPr>
            </w:pPr>
            <w:r w:rsidRPr="00841BA2">
              <w:rPr>
                <w:color w:val="000000" w:themeColor="text1"/>
              </w:rPr>
              <w:t>umiejętność krytycznej oceny informacji i wiarygodności jej źródła,</w:t>
            </w:r>
          </w:p>
          <w:p w14:paraId="2AC43EC7" w14:textId="77777777" w:rsidR="00736FCA" w:rsidRPr="00841BA2" w:rsidRDefault="00736FCA" w:rsidP="00971FA8">
            <w:pPr>
              <w:numPr>
                <w:ilvl w:val="0"/>
                <w:numId w:val="3"/>
              </w:numPr>
              <w:rPr>
                <w:color w:val="000000" w:themeColor="text1"/>
              </w:rPr>
            </w:pPr>
            <w:r w:rsidRPr="00841BA2">
              <w:rPr>
                <w:color w:val="000000" w:themeColor="text1"/>
              </w:rPr>
              <w:t>zrozumienie logiki funkcjonowania platform bazujących na wysokim emocjonalnym zaangażowaniu użytkowników oraz rozumienie konsekwencji wynikających z komercyjnego charakteru tych platform,(…).</w:t>
            </w:r>
          </w:p>
          <w:p w14:paraId="45A91D14" w14:textId="77777777" w:rsidR="00736FCA" w:rsidRPr="00841BA2" w:rsidRDefault="00736FCA" w:rsidP="00971FA8">
            <w:pPr>
              <w:rPr>
                <w:color w:val="000000" w:themeColor="text1"/>
              </w:rPr>
            </w:pPr>
            <w:r w:rsidRPr="00841BA2">
              <w:rPr>
                <w:color w:val="000000" w:themeColor="text1"/>
              </w:rPr>
              <w:t xml:space="preserve">Dodanie „edukacja medialna”: Proces nabywania przez obywateli umiejętności, wiedzy i postaw umożliwiających skuteczne i bezpieczne korzystanie z mediów, w tym umiejętność </w:t>
            </w:r>
            <w:r w:rsidRPr="00841BA2">
              <w:rPr>
                <w:color w:val="000000" w:themeColor="text1"/>
              </w:rPr>
              <w:lastRenderedPageBreak/>
              <w:t>krytycznego myślenia niezbędna do dokonywania ocen, analizowania złożonych realiów i odróżniania opinii od faktów.</w:t>
            </w:r>
          </w:p>
          <w:p w14:paraId="03CD585E" w14:textId="77777777" w:rsidR="00736FCA" w:rsidRDefault="00736FCA" w:rsidP="00971FA8"/>
        </w:tc>
        <w:tc>
          <w:tcPr>
            <w:tcW w:w="3638" w:type="dxa"/>
          </w:tcPr>
          <w:p w14:paraId="77C3C84A" w14:textId="003686D9" w:rsidR="005834FB" w:rsidRDefault="00547AC2" w:rsidP="00971FA8">
            <w:r w:rsidRPr="00547AC2">
              <w:lastRenderedPageBreak/>
              <w:t>Uw</w:t>
            </w:r>
            <w:r w:rsidR="00D3747D">
              <w:t>aga uw</w:t>
            </w:r>
            <w:r w:rsidRPr="00547AC2">
              <w:t>zględnion</w:t>
            </w:r>
            <w:r w:rsidR="00D3747D">
              <w:t>a</w:t>
            </w:r>
            <w:r w:rsidRPr="00547AC2">
              <w:t xml:space="preserve"> częściowo</w:t>
            </w:r>
            <w:r w:rsidR="008C26FF" w:rsidRPr="00547AC2">
              <w:t>.</w:t>
            </w:r>
            <w:r w:rsidR="008C26FF">
              <w:t xml:space="preserve"> Propozycje z</w:t>
            </w:r>
            <w:r w:rsidR="00841BA2">
              <w:t>mian z</w:t>
            </w:r>
            <w:r w:rsidR="008C26FF">
              <w:t xml:space="preserve">apisów w </w:t>
            </w:r>
            <w:r w:rsidR="00841BA2">
              <w:t xml:space="preserve">definicji </w:t>
            </w:r>
            <w:r w:rsidR="008C26FF">
              <w:t>„algorytmika” i „</w:t>
            </w:r>
            <w:proofErr w:type="spellStart"/>
            <w:r w:rsidR="008C26FF">
              <w:t>datafikacja</w:t>
            </w:r>
            <w:proofErr w:type="spellEnd"/>
            <w:r w:rsidR="008C26FF">
              <w:t>” nie wyjaśniają czym jest dane pojęcie, ale rozwija</w:t>
            </w:r>
            <w:r w:rsidR="00304140">
              <w:t>ją</w:t>
            </w:r>
            <w:r w:rsidR="008C26FF">
              <w:t xml:space="preserve"> tę tematykę. Pozostałe </w:t>
            </w:r>
            <w:r w:rsidR="00D3747D">
              <w:t>propozycje</w:t>
            </w:r>
            <w:r w:rsidR="008C26FF">
              <w:t xml:space="preserve"> uwzględniono.</w:t>
            </w:r>
          </w:p>
        </w:tc>
      </w:tr>
      <w:tr w:rsidR="005834FB" w14:paraId="6698D097" w14:textId="77777777" w:rsidTr="00681E52">
        <w:tc>
          <w:tcPr>
            <w:tcW w:w="768" w:type="dxa"/>
            <w:vAlign w:val="center"/>
          </w:tcPr>
          <w:p w14:paraId="515583D8" w14:textId="77777777" w:rsidR="005834FB" w:rsidRDefault="005834FB" w:rsidP="00971FA8">
            <w:pPr>
              <w:pStyle w:val="Akapitzlist"/>
              <w:numPr>
                <w:ilvl w:val="0"/>
                <w:numId w:val="1"/>
              </w:numPr>
            </w:pPr>
          </w:p>
        </w:tc>
        <w:tc>
          <w:tcPr>
            <w:tcW w:w="2200" w:type="dxa"/>
          </w:tcPr>
          <w:p w14:paraId="58AFC5A4" w14:textId="77777777" w:rsidR="005834FB" w:rsidRDefault="00736FCA" w:rsidP="00971FA8">
            <w:r>
              <w:t>Krajowa Rada Radiofonii i Telewizji</w:t>
            </w:r>
          </w:p>
        </w:tc>
        <w:tc>
          <w:tcPr>
            <w:tcW w:w="2686" w:type="dxa"/>
          </w:tcPr>
          <w:p w14:paraId="6A3E0C0D" w14:textId="77777777" w:rsidR="005834FB" w:rsidRDefault="00736FCA" w:rsidP="00971FA8">
            <w:r>
              <w:t>Str. 10</w:t>
            </w:r>
          </w:p>
        </w:tc>
        <w:tc>
          <w:tcPr>
            <w:tcW w:w="4737" w:type="dxa"/>
          </w:tcPr>
          <w:p w14:paraId="69614901" w14:textId="77777777" w:rsidR="00736FCA" w:rsidRDefault="00736FCA" w:rsidP="00971FA8">
            <w:r>
              <w:t xml:space="preserve">Uzupełnienie: </w:t>
            </w:r>
            <w:r w:rsidRPr="00736FCA">
              <w:t>Podstawowym elementem kompetencji cyfrowych są praktyczne umiejętności wprawnego, refleksyjnego (świadomego) i odpowiedzialnego korzystania z mediów, cyfrowych urządzeń i technologii cyfrowych podczas nauki, w pracy i w czasie wolnym, w sferze prywatnej i publicznej.</w:t>
            </w:r>
          </w:p>
        </w:tc>
        <w:tc>
          <w:tcPr>
            <w:tcW w:w="3638" w:type="dxa"/>
          </w:tcPr>
          <w:p w14:paraId="543A95FC" w14:textId="2DF34374" w:rsidR="005834FB" w:rsidRDefault="00547AC2" w:rsidP="00971FA8">
            <w:r>
              <w:t>U</w:t>
            </w:r>
            <w:r w:rsidR="00D3747D">
              <w:t>waga u</w:t>
            </w:r>
            <w:r w:rsidR="002D57C1">
              <w:t>względnion</w:t>
            </w:r>
            <w:r w:rsidR="00D3747D">
              <w:t>a</w:t>
            </w:r>
            <w:r w:rsidR="00686752">
              <w:t>.</w:t>
            </w:r>
          </w:p>
        </w:tc>
      </w:tr>
      <w:tr w:rsidR="005834FB" w14:paraId="33997CD8" w14:textId="77777777" w:rsidTr="00681E52">
        <w:tc>
          <w:tcPr>
            <w:tcW w:w="768" w:type="dxa"/>
            <w:vAlign w:val="center"/>
          </w:tcPr>
          <w:p w14:paraId="0F872E37" w14:textId="77777777" w:rsidR="005834FB" w:rsidRDefault="005834FB" w:rsidP="00971FA8">
            <w:pPr>
              <w:pStyle w:val="Akapitzlist"/>
              <w:numPr>
                <w:ilvl w:val="0"/>
                <w:numId w:val="1"/>
              </w:numPr>
            </w:pPr>
          </w:p>
        </w:tc>
        <w:tc>
          <w:tcPr>
            <w:tcW w:w="2200" w:type="dxa"/>
          </w:tcPr>
          <w:p w14:paraId="5004A309" w14:textId="77777777" w:rsidR="005834FB" w:rsidRDefault="00736FCA" w:rsidP="00971FA8">
            <w:r>
              <w:t>Krajowa Rada Radiofonii i Telewizji</w:t>
            </w:r>
          </w:p>
        </w:tc>
        <w:tc>
          <w:tcPr>
            <w:tcW w:w="2686" w:type="dxa"/>
          </w:tcPr>
          <w:p w14:paraId="5CEF6CCE" w14:textId="77777777" w:rsidR="005834FB" w:rsidRDefault="00736FCA" w:rsidP="00971FA8">
            <w:r>
              <w:t>Str. 10</w:t>
            </w:r>
          </w:p>
        </w:tc>
        <w:tc>
          <w:tcPr>
            <w:tcW w:w="4737" w:type="dxa"/>
          </w:tcPr>
          <w:p w14:paraId="682E0130" w14:textId="77777777" w:rsidR="00736FCA" w:rsidRPr="00736FCA" w:rsidRDefault="00736FCA" w:rsidP="00971FA8">
            <w:r>
              <w:t xml:space="preserve">Uzupełnienie: </w:t>
            </w:r>
            <w:r w:rsidRPr="00736FCA">
              <w:t xml:space="preserve">Tylko świadome wykorzystywanie narzędzi i usług cyfrowych daje możliwość pełnego wykorzystania potencjału gospodarki cyfrowej, dlatego w kształtowaniu kompetencji cyfrowych istotną kwestią jest zwrócenie uwagi na umiejętność krytycznego i świadomego korzystania z cyfrowych mediów, urządzeń i technologii, analizy danych i informacji oraz kształtowania postaw funkcjonowania w sieci, co pozwala uniknąć negatywnych efektów dezinformacji i innych </w:t>
            </w:r>
            <w:proofErr w:type="spellStart"/>
            <w:r w:rsidRPr="00736FCA">
              <w:t>cyberzagrożeń</w:t>
            </w:r>
            <w:proofErr w:type="spellEnd"/>
            <w:r w:rsidRPr="00736FCA">
              <w:t xml:space="preserve">. </w:t>
            </w:r>
          </w:p>
          <w:p w14:paraId="47F06CEC" w14:textId="77777777" w:rsidR="005834FB" w:rsidRDefault="005834FB" w:rsidP="00971FA8"/>
        </w:tc>
        <w:tc>
          <w:tcPr>
            <w:tcW w:w="3638" w:type="dxa"/>
          </w:tcPr>
          <w:p w14:paraId="6D8F7572" w14:textId="686F86FD" w:rsidR="005834FB" w:rsidRDefault="00D93F87" w:rsidP="00971FA8">
            <w:r>
              <w:t>U</w:t>
            </w:r>
            <w:r w:rsidR="00D3747D">
              <w:t>waga u</w:t>
            </w:r>
            <w:r>
              <w:t>względnion</w:t>
            </w:r>
            <w:r w:rsidR="00D3747D">
              <w:t>a</w:t>
            </w:r>
            <w:r w:rsidR="00686752">
              <w:t>.</w:t>
            </w:r>
          </w:p>
        </w:tc>
      </w:tr>
      <w:tr w:rsidR="005834FB" w14:paraId="0CCD2B74" w14:textId="77777777" w:rsidTr="00681E52">
        <w:tc>
          <w:tcPr>
            <w:tcW w:w="768" w:type="dxa"/>
            <w:vAlign w:val="center"/>
          </w:tcPr>
          <w:p w14:paraId="225729A3" w14:textId="77777777" w:rsidR="005834FB" w:rsidRDefault="005834FB" w:rsidP="00971FA8">
            <w:pPr>
              <w:pStyle w:val="Akapitzlist"/>
              <w:numPr>
                <w:ilvl w:val="0"/>
                <w:numId w:val="1"/>
              </w:numPr>
            </w:pPr>
          </w:p>
        </w:tc>
        <w:tc>
          <w:tcPr>
            <w:tcW w:w="2200" w:type="dxa"/>
          </w:tcPr>
          <w:p w14:paraId="04E50A6A" w14:textId="77777777" w:rsidR="005834FB" w:rsidRDefault="00736FCA" w:rsidP="00971FA8">
            <w:r>
              <w:t>Krajowa Rada Radiofonii i Telewizji</w:t>
            </w:r>
          </w:p>
        </w:tc>
        <w:tc>
          <w:tcPr>
            <w:tcW w:w="2686" w:type="dxa"/>
          </w:tcPr>
          <w:p w14:paraId="61CD40D3" w14:textId="77777777" w:rsidR="005834FB" w:rsidRDefault="00736FCA" w:rsidP="00971FA8">
            <w:r>
              <w:t>Str. 16</w:t>
            </w:r>
          </w:p>
        </w:tc>
        <w:tc>
          <w:tcPr>
            <w:tcW w:w="4737" w:type="dxa"/>
          </w:tcPr>
          <w:p w14:paraId="1A3CC0F6" w14:textId="77777777" w:rsidR="005834FB" w:rsidRDefault="00736FCA" w:rsidP="00971FA8">
            <w:r>
              <w:t xml:space="preserve">Uzupełnienie: </w:t>
            </w:r>
            <w:r w:rsidRPr="00736FCA">
              <w:t xml:space="preserve">Kompetencje cyfrowe stanowią niezbędny warunek świadomego i odpowiedzialnego uczestnictwa w życiu publicznym. Ważne są zwłaszcza takie umiejętności i postawy wchodzące w skład kompetencji cyfrowych, które umożliwiają świadome i krytyczne korzystanie z różnych źródeł informacji, w tym mediów społecznościowych, czyli edukacja medialna. </w:t>
            </w:r>
          </w:p>
        </w:tc>
        <w:tc>
          <w:tcPr>
            <w:tcW w:w="3638" w:type="dxa"/>
          </w:tcPr>
          <w:p w14:paraId="27C35CD5" w14:textId="199A8D8D" w:rsidR="005834FB" w:rsidRDefault="00D93F87" w:rsidP="00971FA8">
            <w:r>
              <w:t>Uw</w:t>
            </w:r>
            <w:r w:rsidR="00D3747D">
              <w:t>aga uw</w:t>
            </w:r>
            <w:r>
              <w:t>zględnion</w:t>
            </w:r>
            <w:r w:rsidR="00D3747D">
              <w:t>a</w:t>
            </w:r>
            <w:r w:rsidR="00686752">
              <w:t>.</w:t>
            </w:r>
          </w:p>
        </w:tc>
      </w:tr>
      <w:tr w:rsidR="005834FB" w14:paraId="50B48AD2" w14:textId="77777777" w:rsidTr="00681E52">
        <w:tc>
          <w:tcPr>
            <w:tcW w:w="768" w:type="dxa"/>
            <w:vAlign w:val="center"/>
          </w:tcPr>
          <w:p w14:paraId="3608ACFA" w14:textId="77777777" w:rsidR="005834FB" w:rsidRDefault="005834FB" w:rsidP="00971FA8">
            <w:pPr>
              <w:pStyle w:val="Akapitzlist"/>
              <w:numPr>
                <w:ilvl w:val="0"/>
                <w:numId w:val="1"/>
              </w:numPr>
            </w:pPr>
          </w:p>
        </w:tc>
        <w:tc>
          <w:tcPr>
            <w:tcW w:w="2200" w:type="dxa"/>
          </w:tcPr>
          <w:p w14:paraId="05E0B044" w14:textId="77777777" w:rsidR="005834FB" w:rsidRDefault="00736FCA" w:rsidP="00971FA8">
            <w:r>
              <w:t>Krajowa Rada Radiofonii i Telewizji</w:t>
            </w:r>
          </w:p>
        </w:tc>
        <w:tc>
          <w:tcPr>
            <w:tcW w:w="2686" w:type="dxa"/>
          </w:tcPr>
          <w:p w14:paraId="17D6D215" w14:textId="77777777" w:rsidR="005834FB" w:rsidRDefault="00736FCA" w:rsidP="00971FA8">
            <w:r>
              <w:t>s. 19</w:t>
            </w:r>
          </w:p>
        </w:tc>
        <w:tc>
          <w:tcPr>
            <w:tcW w:w="4737" w:type="dxa"/>
          </w:tcPr>
          <w:p w14:paraId="27463E01" w14:textId="77777777" w:rsidR="005834FB" w:rsidRPr="00736FCA" w:rsidRDefault="00736FCA" w:rsidP="00971FA8">
            <w:r>
              <w:t xml:space="preserve">Komentarz do zdania </w:t>
            </w:r>
            <w:r w:rsidRPr="00736FCA">
              <w:rPr>
                <w:i/>
              </w:rPr>
              <w:t xml:space="preserve">Na 15 celów korzystania z </w:t>
            </w:r>
            <w:proofErr w:type="spellStart"/>
            <w:r w:rsidRPr="00736FCA">
              <w:rPr>
                <w:i/>
              </w:rPr>
              <w:t>internetu</w:t>
            </w:r>
            <w:proofErr w:type="spellEnd"/>
            <w:r w:rsidRPr="00736FCA">
              <w:rPr>
                <w:i/>
              </w:rPr>
              <w:t>, obserwowanych w ramach badań wspólnotowych, tylko w dwóch przypadkach - udział w sieciach społecznościowych i wyszukiwanie informacji o produktach - mieszkańcy Polski prezentują średni poziom państw UE, a w przypadku czytania serwisów informacyjnych lub gazet online przewyższają poziom unijny.</w:t>
            </w:r>
            <w:r>
              <w:rPr>
                <w:i/>
              </w:rPr>
              <w:t xml:space="preserve">: </w:t>
            </w:r>
            <w:r w:rsidRPr="00736FCA">
              <w:t>Choć to może zbytnie uproszczenie, ze względu na wyższy niż średnia unijna wskaźnik tym bardziej ważne wydaje się kształtowanie postaw krytycznego odbioru mediów.</w:t>
            </w:r>
          </w:p>
        </w:tc>
        <w:tc>
          <w:tcPr>
            <w:tcW w:w="3638" w:type="dxa"/>
          </w:tcPr>
          <w:p w14:paraId="4CC5860D" w14:textId="77777777" w:rsidR="005834FB" w:rsidRDefault="00362534" w:rsidP="00971FA8">
            <w:r>
              <w:t xml:space="preserve">Komentarz </w:t>
            </w:r>
            <w:r w:rsidR="00D93F87">
              <w:t>przyjęty</w:t>
            </w:r>
            <w:r>
              <w:t>.</w:t>
            </w:r>
          </w:p>
        </w:tc>
      </w:tr>
      <w:tr w:rsidR="005834FB" w14:paraId="726EE1D3" w14:textId="77777777" w:rsidTr="00681E52">
        <w:tc>
          <w:tcPr>
            <w:tcW w:w="768" w:type="dxa"/>
            <w:vAlign w:val="center"/>
          </w:tcPr>
          <w:p w14:paraId="393E7BEC" w14:textId="77777777" w:rsidR="005834FB" w:rsidRDefault="005834FB" w:rsidP="00971FA8">
            <w:pPr>
              <w:pStyle w:val="Akapitzlist"/>
              <w:numPr>
                <w:ilvl w:val="0"/>
                <w:numId w:val="1"/>
              </w:numPr>
            </w:pPr>
          </w:p>
        </w:tc>
        <w:tc>
          <w:tcPr>
            <w:tcW w:w="2200" w:type="dxa"/>
          </w:tcPr>
          <w:p w14:paraId="2D24DA36" w14:textId="77777777" w:rsidR="005834FB" w:rsidRDefault="00736FCA" w:rsidP="00971FA8">
            <w:r>
              <w:t>Krajowa Rada Radiofonii i Telewizji</w:t>
            </w:r>
          </w:p>
        </w:tc>
        <w:tc>
          <w:tcPr>
            <w:tcW w:w="2686" w:type="dxa"/>
          </w:tcPr>
          <w:p w14:paraId="79D41C69" w14:textId="77777777" w:rsidR="005834FB" w:rsidRDefault="00736FCA" w:rsidP="00971FA8">
            <w:r>
              <w:t>s. 45</w:t>
            </w:r>
          </w:p>
        </w:tc>
        <w:tc>
          <w:tcPr>
            <w:tcW w:w="4737" w:type="dxa"/>
          </w:tcPr>
          <w:p w14:paraId="5952DD55" w14:textId="77777777" w:rsidR="005834FB" w:rsidRDefault="00736FCA" w:rsidP="00971FA8">
            <w:r>
              <w:t xml:space="preserve">Korekta: </w:t>
            </w:r>
            <w:r w:rsidRPr="00736FCA">
              <w:t>Kolejny projekt finansowany w ramach POPC, skierowany do nauczycielek i nauczycieli oraz kadry kierowniczej szkół podstawowych i ponadpodstawowych, w ramach którego prowadzone jest doskonalenie kompetencji cyfrowych i metodycznych, szczególnie w kontekście kształcenia na odległość i wykorzystania technologii informacyjno-komunikacyjnych w procesie kształcenia.</w:t>
            </w:r>
          </w:p>
        </w:tc>
        <w:tc>
          <w:tcPr>
            <w:tcW w:w="3638" w:type="dxa"/>
          </w:tcPr>
          <w:p w14:paraId="5B01E303" w14:textId="59351471" w:rsidR="005834FB" w:rsidRDefault="00D93F87" w:rsidP="00971FA8">
            <w:r>
              <w:t>Uw</w:t>
            </w:r>
            <w:r w:rsidR="00D3747D">
              <w:t>aga uw</w:t>
            </w:r>
            <w:r>
              <w:t>zględnion</w:t>
            </w:r>
            <w:r w:rsidR="00D3747D">
              <w:t>a</w:t>
            </w:r>
            <w:r w:rsidR="00686752">
              <w:t>.</w:t>
            </w:r>
          </w:p>
        </w:tc>
      </w:tr>
      <w:tr w:rsidR="005834FB" w14:paraId="3EA1B698" w14:textId="77777777" w:rsidTr="00681E52">
        <w:tc>
          <w:tcPr>
            <w:tcW w:w="768" w:type="dxa"/>
            <w:vAlign w:val="center"/>
          </w:tcPr>
          <w:p w14:paraId="22DA3F89" w14:textId="77777777" w:rsidR="005834FB" w:rsidRDefault="005834FB" w:rsidP="00971FA8">
            <w:pPr>
              <w:pStyle w:val="Akapitzlist"/>
              <w:numPr>
                <w:ilvl w:val="0"/>
                <w:numId w:val="1"/>
              </w:numPr>
            </w:pPr>
          </w:p>
        </w:tc>
        <w:tc>
          <w:tcPr>
            <w:tcW w:w="2200" w:type="dxa"/>
          </w:tcPr>
          <w:p w14:paraId="29C42331" w14:textId="77777777" w:rsidR="005834FB" w:rsidRDefault="00736FCA" w:rsidP="00971FA8">
            <w:r>
              <w:t>Krajowa Rada Radiofonii i Telewizji</w:t>
            </w:r>
          </w:p>
        </w:tc>
        <w:tc>
          <w:tcPr>
            <w:tcW w:w="2686" w:type="dxa"/>
          </w:tcPr>
          <w:p w14:paraId="6486E005" w14:textId="77777777" w:rsidR="005834FB" w:rsidRDefault="00736FCA" w:rsidP="00971FA8">
            <w:r>
              <w:t>s. 56</w:t>
            </w:r>
          </w:p>
        </w:tc>
        <w:tc>
          <w:tcPr>
            <w:tcW w:w="4737" w:type="dxa"/>
          </w:tcPr>
          <w:p w14:paraId="254D1C20" w14:textId="77777777" w:rsidR="00736FCA" w:rsidRPr="00736FCA" w:rsidRDefault="00736FCA" w:rsidP="00971FA8">
            <w:r>
              <w:t xml:space="preserve">Uzupełnienie: </w:t>
            </w:r>
            <w:r w:rsidRPr="00736FCA">
              <w:t>Opracowany zostanie program szkoleń dla nauczycieli wychowania przedszkolnego, obejmujący:</w:t>
            </w:r>
          </w:p>
          <w:p w14:paraId="1A3CB837" w14:textId="77777777" w:rsidR="00736FCA" w:rsidRPr="00736FCA" w:rsidRDefault="00736FCA" w:rsidP="00971FA8">
            <w:r w:rsidRPr="00736FCA">
              <w:t xml:space="preserve">metodykę rozwijania kompetencji cyfrowych u dzieci w wieku przedszkolnym, z uwzględnieniem myślenia </w:t>
            </w:r>
            <w:proofErr w:type="spellStart"/>
            <w:r w:rsidRPr="00736FCA">
              <w:t>komputacyjnego</w:t>
            </w:r>
            <w:proofErr w:type="spellEnd"/>
            <w:r w:rsidRPr="00736FCA">
              <w:t>, elementów programowania oraz edukacji medialnej i higieny cyfrowej;</w:t>
            </w:r>
          </w:p>
          <w:p w14:paraId="2673DF7D" w14:textId="77777777" w:rsidR="005834FB" w:rsidRDefault="005834FB" w:rsidP="00971FA8"/>
        </w:tc>
        <w:tc>
          <w:tcPr>
            <w:tcW w:w="3638" w:type="dxa"/>
          </w:tcPr>
          <w:p w14:paraId="46517927" w14:textId="645E120F" w:rsidR="005834FB" w:rsidRDefault="00D93F87" w:rsidP="00971FA8">
            <w:r>
              <w:t>U</w:t>
            </w:r>
            <w:r w:rsidR="00D3747D">
              <w:t>waga u</w:t>
            </w:r>
            <w:r>
              <w:t>względnion</w:t>
            </w:r>
            <w:r w:rsidR="00D3747D">
              <w:t>a</w:t>
            </w:r>
            <w:r w:rsidR="00686752">
              <w:t>.</w:t>
            </w:r>
          </w:p>
        </w:tc>
      </w:tr>
      <w:tr w:rsidR="005834FB" w14:paraId="4FCB32A1" w14:textId="77777777" w:rsidTr="00681E52">
        <w:tc>
          <w:tcPr>
            <w:tcW w:w="768" w:type="dxa"/>
            <w:vAlign w:val="center"/>
          </w:tcPr>
          <w:p w14:paraId="5CE6AE7F" w14:textId="77777777" w:rsidR="005834FB" w:rsidRDefault="005834FB" w:rsidP="00971FA8">
            <w:pPr>
              <w:pStyle w:val="Akapitzlist"/>
              <w:numPr>
                <w:ilvl w:val="0"/>
                <w:numId w:val="1"/>
              </w:numPr>
            </w:pPr>
          </w:p>
        </w:tc>
        <w:tc>
          <w:tcPr>
            <w:tcW w:w="2200" w:type="dxa"/>
          </w:tcPr>
          <w:p w14:paraId="18C130B4" w14:textId="77777777" w:rsidR="005834FB" w:rsidRDefault="00736FCA" w:rsidP="00971FA8">
            <w:r>
              <w:t>Krajowa Rada Radiofonii i Telewizji</w:t>
            </w:r>
          </w:p>
        </w:tc>
        <w:tc>
          <w:tcPr>
            <w:tcW w:w="2686" w:type="dxa"/>
          </w:tcPr>
          <w:p w14:paraId="467638D1" w14:textId="77777777" w:rsidR="005834FB" w:rsidRDefault="00736FCA" w:rsidP="00971FA8">
            <w:r>
              <w:t>s. 57</w:t>
            </w:r>
          </w:p>
        </w:tc>
        <w:tc>
          <w:tcPr>
            <w:tcW w:w="4737" w:type="dxa"/>
          </w:tcPr>
          <w:p w14:paraId="406E7215" w14:textId="77777777" w:rsidR="00736FCA" w:rsidRDefault="00736FCA" w:rsidP="00971FA8">
            <w:r>
              <w:t>Uzupełnienie:</w:t>
            </w:r>
          </w:p>
          <w:p w14:paraId="681B6665" w14:textId="77777777" w:rsidR="005834FB" w:rsidRDefault="00736FCA" w:rsidP="00971FA8">
            <w:r w:rsidRPr="00736FCA">
              <w:t>Ponieważ podstawa programowa z lat 2017-2018 jest jeszcze w toku wdrażania, w latach 2023-2024 (będą to dwa ostatnie lata procesu wdrożenia) przewidziane jest przeprowadzenie monitorowania jej funkcjonowania w praktyce szkolnej pod kątem potrzeby zmian, uzupełnień lub aktualizacji, w tym jeżeli chodzi o szeroko rozumiane umiejętności cyfrowe, w tym świadome i krytyczne korzystanie z mediów, zasady umieszczania treści na platformach społecznościowych i krytyczną analizę tych treści, budowanie odporności na fałszywe informacje, rozpoznawanie manipulowania obrazem i dźwiękiem, higienę cyfrowa itp.</w:t>
            </w:r>
          </w:p>
          <w:p w14:paraId="7E341791" w14:textId="77777777" w:rsidR="00736FCA" w:rsidRDefault="00736FCA" w:rsidP="00971FA8">
            <w:r>
              <w:t>Dodanie jako podmiot współpracujący: KRRiT</w:t>
            </w:r>
          </w:p>
        </w:tc>
        <w:tc>
          <w:tcPr>
            <w:tcW w:w="3638" w:type="dxa"/>
          </w:tcPr>
          <w:p w14:paraId="2F78FE94" w14:textId="7C3C9A36" w:rsidR="005834FB" w:rsidRDefault="00D93F87" w:rsidP="00971FA8">
            <w:r>
              <w:t>U</w:t>
            </w:r>
            <w:r w:rsidR="00D3747D">
              <w:t>waga u</w:t>
            </w:r>
            <w:r>
              <w:t>względnion</w:t>
            </w:r>
            <w:r w:rsidR="00D3747D">
              <w:t>a</w:t>
            </w:r>
            <w:r>
              <w:t xml:space="preserve">. </w:t>
            </w:r>
            <w:r w:rsidR="000F2E63">
              <w:t>Doda</w:t>
            </w:r>
            <w:r w:rsidR="00933C5B">
              <w:t>tkowo dodano KRRiT do wykazu skrótów i użytych pojęć</w:t>
            </w:r>
            <w:r w:rsidR="000F2E63">
              <w:t>.</w:t>
            </w:r>
          </w:p>
        </w:tc>
      </w:tr>
      <w:tr w:rsidR="005834FB" w14:paraId="661454C7" w14:textId="77777777" w:rsidTr="00681E52">
        <w:tc>
          <w:tcPr>
            <w:tcW w:w="768" w:type="dxa"/>
            <w:vAlign w:val="center"/>
          </w:tcPr>
          <w:p w14:paraId="4162338A" w14:textId="77777777" w:rsidR="005834FB" w:rsidRDefault="005834FB" w:rsidP="00971FA8">
            <w:pPr>
              <w:pStyle w:val="Akapitzlist"/>
              <w:numPr>
                <w:ilvl w:val="0"/>
                <w:numId w:val="1"/>
              </w:numPr>
            </w:pPr>
          </w:p>
        </w:tc>
        <w:tc>
          <w:tcPr>
            <w:tcW w:w="2200" w:type="dxa"/>
          </w:tcPr>
          <w:p w14:paraId="6F6001EF" w14:textId="77777777" w:rsidR="005834FB" w:rsidRDefault="00736FCA" w:rsidP="00971FA8">
            <w:r>
              <w:t>Krajowa Rada Radiofonii i Telewizji</w:t>
            </w:r>
          </w:p>
        </w:tc>
        <w:tc>
          <w:tcPr>
            <w:tcW w:w="2686" w:type="dxa"/>
          </w:tcPr>
          <w:p w14:paraId="51370EA1" w14:textId="77777777" w:rsidR="005834FB" w:rsidRDefault="00736FCA" w:rsidP="00971FA8">
            <w:r>
              <w:t>s. 58</w:t>
            </w:r>
          </w:p>
        </w:tc>
        <w:tc>
          <w:tcPr>
            <w:tcW w:w="4737" w:type="dxa"/>
          </w:tcPr>
          <w:p w14:paraId="48392A67" w14:textId="77777777" w:rsidR="005834FB" w:rsidRDefault="00736FCA" w:rsidP="00971FA8">
            <w:r w:rsidRPr="00736FCA">
              <w:t>Istotne jest również kształtowanie umiejętności związanych z edukacją medialną, w tym szeroko pojętą higieną cyfrową, etyką cyfrową oraz bezpiecznym, świadomym i krytycznym korzystaniem z rozwiązań cyfrowych.</w:t>
            </w:r>
          </w:p>
        </w:tc>
        <w:tc>
          <w:tcPr>
            <w:tcW w:w="3638" w:type="dxa"/>
          </w:tcPr>
          <w:p w14:paraId="541C8B2E" w14:textId="07E7AF95" w:rsidR="005834FB" w:rsidRDefault="00530E00" w:rsidP="00971FA8">
            <w:r>
              <w:t>U</w:t>
            </w:r>
            <w:r w:rsidR="00D3747D">
              <w:t>waga u</w:t>
            </w:r>
            <w:r>
              <w:t>względnion</w:t>
            </w:r>
            <w:r w:rsidR="00D3747D">
              <w:t>a</w:t>
            </w:r>
            <w:r w:rsidR="00686752">
              <w:t>.</w:t>
            </w:r>
          </w:p>
        </w:tc>
      </w:tr>
      <w:tr w:rsidR="005834FB" w14:paraId="77342AC4" w14:textId="77777777" w:rsidTr="00681E52">
        <w:tc>
          <w:tcPr>
            <w:tcW w:w="768" w:type="dxa"/>
            <w:vAlign w:val="center"/>
          </w:tcPr>
          <w:p w14:paraId="350533CE" w14:textId="77777777" w:rsidR="005834FB" w:rsidRDefault="005834FB" w:rsidP="00971FA8">
            <w:pPr>
              <w:pStyle w:val="Akapitzlist"/>
              <w:numPr>
                <w:ilvl w:val="0"/>
                <w:numId w:val="1"/>
              </w:numPr>
            </w:pPr>
          </w:p>
        </w:tc>
        <w:tc>
          <w:tcPr>
            <w:tcW w:w="2200" w:type="dxa"/>
          </w:tcPr>
          <w:p w14:paraId="23A133B0" w14:textId="77777777" w:rsidR="005834FB" w:rsidRDefault="00736FCA" w:rsidP="00971FA8">
            <w:r>
              <w:t>Krajowa Rada Radiofonii i Telewizji</w:t>
            </w:r>
          </w:p>
        </w:tc>
        <w:tc>
          <w:tcPr>
            <w:tcW w:w="2686" w:type="dxa"/>
          </w:tcPr>
          <w:p w14:paraId="7A48B635" w14:textId="77777777" w:rsidR="005834FB" w:rsidRDefault="00736FCA" w:rsidP="00971FA8">
            <w:r>
              <w:t>s. 59</w:t>
            </w:r>
            <w:r w:rsidR="008A6BCD">
              <w:t xml:space="preserve"> </w:t>
            </w:r>
            <w:r w:rsidR="008A6BCD" w:rsidRPr="00736FCA">
              <w:t xml:space="preserve">Podniesienie kwalifikacji nauczycieli w zakresie wiedzy o bezpieczeństwie online dzieci, zapewnienie dostępu do materiałów, które mogą być wykorzystywane podczas nauczania zdalnego, jak i stacjonarnego oraz podniesienie poziomu </w:t>
            </w:r>
            <w:r w:rsidR="008A6BCD" w:rsidRPr="00736FCA">
              <w:lastRenderedPageBreak/>
              <w:t>wiedzy uczniów w zakresie bezpieczeństwa online</w:t>
            </w:r>
          </w:p>
        </w:tc>
        <w:tc>
          <w:tcPr>
            <w:tcW w:w="4737" w:type="dxa"/>
          </w:tcPr>
          <w:p w14:paraId="52831633" w14:textId="77777777" w:rsidR="005834FB" w:rsidRDefault="00736FCA" w:rsidP="00971FA8">
            <w:r>
              <w:lastRenderedPageBreak/>
              <w:t xml:space="preserve">Uzupełnienie: </w:t>
            </w:r>
            <w:r w:rsidRPr="00736FCA">
              <w:t xml:space="preserve">Podniesienie kwalifikacji nauczycieli w zakresie wiedzy o bezpieczeństwie online dzieci, zapewnienie dostępu do materiałów, które mogą być wykorzystywane podczas nauczania zdalnego, jak i stacjonarnego oraz podniesienie poziomu </w:t>
            </w:r>
            <w:r w:rsidRPr="00527DAD">
              <w:rPr>
                <w:color w:val="000000" w:themeColor="text1"/>
              </w:rPr>
              <w:t xml:space="preserve">wiedzy uczniów w zakresie bezpieczeństwa online rozumianego nie tylko jako </w:t>
            </w:r>
            <w:proofErr w:type="spellStart"/>
            <w:r w:rsidRPr="00527DAD">
              <w:rPr>
                <w:color w:val="000000" w:themeColor="text1"/>
              </w:rPr>
              <w:t>cyberbezpieczeństwo</w:t>
            </w:r>
            <w:proofErr w:type="spellEnd"/>
            <w:r w:rsidRPr="00527DAD">
              <w:rPr>
                <w:color w:val="000000" w:themeColor="text1"/>
              </w:rPr>
              <w:t>, ale też wiedza i umiejętności dot. weryfikowania dezinformacji i budowania odporności na to zjawisko.</w:t>
            </w:r>
          </w:p>
        </w:tc>
        <w:tc>
          <w:tcPr>
            <w:tcW w:w="3638" w:type="dxa"/>
          </w:tcPr>
          <w:p w14:paraId="09F7819D" w14:textId="5E478A58" w:rsidR="005834FB" w:rsidRDefault="00530E00" w:rsidP="00971FA8">
            <w:r>
              <w:t>U</w:t>
            </w:r>
            <w:r w:rsidR="00D3747D">
              <w:t>waga u</w:t>
            </w:r>
            <w:r>
              <w:t>względnion</w:t>
            </w:r>
            <w:r w:rsidR="00D3747D">
              <w:t>a</w:t>
            </w:r>
            <w:r w:rsidR="00686752">
              <w:t>.</w:t>
            </w:r>
          </w:p>
        </w:tc>
      </w:tr>
      <w:tr w:rsidR="005834FB" w14:paraId="5488831A" w14:textId="77777777" w:rsidTr="00681E52">
        <w:tc>
          <w:tcPr>
            <w:tcW w:w="768" w:type="dxa"/>
            <w:vAlign w:val="center"/>
          </w:tcPr>
          <w:p w14:paraId="27598D07" w14:textId="77777777" w:rsidR="005834FB" w:rsidRDefault="005834FB" w:rsidP="00971FA8">
            <w:pPr>
              <w:pStyle w:val="Akapitzlist"/>
              <w:numPr>
                <w:ilvl w:val="0"/>
                <w:numId w:val="1"/>
              </w:numPr>
            </w:pPr>
          </w:p>
        </w:tc>
        <w:tc>
          <w:tcPr>
            <w:tcW w:w="2200" w:type="dxa"/>
          </w:tcPr>
          <w:p w14:paraId="318407B5" w14:textId="77777777" w:rsidR="005834FB" w:rsidRDefault="00736FCA" w:rsidP="00971FA8">
            <w:r>
              <w:t>Krajowa Rada Radiofonii i Telewizji</w:t>
            </w:r>
          </w:p>
        </w:tc>
        <w:tc>
          <w:tcPr>
            <w:tcW w:w="2686" w:type="dxa"/>
          </w:tcPr>
          <w:p w14:paraId="31286D24" w14:textId="77777777" w:rsidR="005834FB" w:rsidRDefault="00736FCA" w:rsidP="00971FA8">
            <w:r>
              <w:t>s. 60</w:t>
            </w:r>
          </w:p>
        </w:tc>
        <w:tc>
          <w:tcPr>
            <w:tcW w:w="4737" w:type="dxa"/>
          </w:tcPr>
          <w:p w14:paraId="76EFD55E" w14:textId="77777777" w:rsidR="005834FB" w:rsidRDefault="00736FCA" w:rsidP="00971FA8">
            <w:r>
              <w:t xml:space="preserve">Uzupełnienie: </w:t>
            </w:r>
            <w:r w:rsidRPr="00736FCA">
              <w:t xml:space="preserve">Przekazanie nauczycielom i uczniom wiedzy z zakresu </w:t>
            </w:r>
            <w:proofErr w:type="spellStart"/>
            <w:r w:rsidRPr="00736FCA">
              <w:t>cyberbezpieczeństwa</w:t>
            </w:r>
            <w:proofErr w:type="spellEnd"/>
            <w:r w:rsidRPr="00736FCA">
              <w:t xml:space="preserve">, kształtowanie postawy świadomego i krytycznego podejścia do treści zamieszczonych w </w:t>
            </w:r>
            <w:proofErr w:type="spellStart"/>
            <w:r w:rsidRPr="00736FCA">
              <w:t>internecie</w:t>
            </w:r>
            <w:proofErr w:type="spellEnd"/>
            <w:r w:rsidRPr="00736FCA">
              <w:t xml:space="preserve"> oraz promowanie pozytywnych i bezpiecznych </w:t>
            </w:r>
            <w:proofErr w:type="spellStart"/>
            <w:r w:rsidRPr="00736FCA">
              <w:t>zachowań</w:t>
            </w:r>
            <w:proofErr w:type="spellEnd"/>
            <w:r w:rsidRPr="00736FCA">
              <w:t xml:space="preserve"> online, w tym weryfikowania informacji i korzystania z doświadczenia organizacji </w:t>
            </w:r>
            <w:proofErr w:type="spellStart"/>
            <w:r w:rsidRPr="00736FCA">
              <w:t>factcheckingowych</w:t>
            </w:r>
            <w:proofErr w:type="spellEnd"/>
            <w:r w:rsidRPr="00736FCA">
              <w:t>.</w:t>
            </w:r>
          </w:p>
        </w:tc>
        <w:tc>
          <w:tcPr>
            <w:tcW w:w="3638" w:type="dxa"/>
          </w:tcPr>
          <w:p w14:paraId="69D96870" w14:textId="79933A0A" w:rsidR="005834FB" w:rsidRDefault="00CB34A5" w:rsidP="00971FA8">
            <w:r>
              <w:t>U</w:t>
            </w:r>
            <w:r w:rsidR="00D3747D">
              <w:t>waga u</w:t>
            </w:r>
            <w:r>
              <w:t>względnion</w:t>
            </w:r>
            <w:r w:rsidR="00D3747D">
              <w:t>a</w:t>
            </w:r>
            <w:r w:rsidR="00686752">
              <w:t>.</w:t>
            </w:r>
          </w:p>
        </w:tc>
      </w:tr>
      <w:tr w:rsidR="005834FB" w14:paraId="744653E5" w14:textId="77777777" w:rsidTr="00681E52">
        <w:tc>
          <w:tcPr>
            <w:tcW w:w="768" w:type="dxa"/>
            <w:vAlign w:val="center"/>
          </w:tcPr>
          <w:p w14:paraId="141A644D" w14:textId="77777777" w:rsidR="005834FB" w:rsidRDefault="005834FB" w:rsidP="00971FA8">
            <w:pPr>
              <w:pStyle w:val="Akapitzlist"/>
              <w:numPr>
                <w:ilvl w:val="0"/>
                <w:numId w:val="1"/>
              </w:numPr>
            </w:pPr>
          </w:p>
        </w:tc>
        <w:tc>
          <w:tcPr>
            <w:tcW w:w="2200" w:type="dxa"/>
          </w:tcPr>
          <w:p w14:paraId="53868802" w14:textId="77777777" w:rsidR="005834FB" w:rsidRDefault="00736FCA" w:rsidP="00971FA8">
            <w:r>
              <w:t>Krajowa Rada Radiofonii i Telewizji</w:t>
            </w:r>
          </w:p>
        </w:tc>
        <w:tc>
          <w:tcPr>
            <w:tcW w:w="2686" w:type="dxa"/>
          </w:tcPr>
          <w:p w14:paraId="6B1C8ABE" w14:textId="77777777" w:rsidR="005834FB" w:rsidRDefault="00736FCA" w:rsidP="00971FA8">
            <w:r>
              <w:t>s. 64</w:t>
            </w:r>
          </w:p>
        </w:tc>
        <w:tc>
          <w:tcPr>
            <w:tcW w:w="4737" w:type="dxa"/>
          </w:tcPr>
          <w:p w14:paraId="410388F2" w14:textId="77777777" w:rsidR="005834FB" w:rsidRDefault="00736FCA" w:rsidP="00971FA8">
            <w:r>
              <w:t>Uzupełnienie:</w:t>
            </w:r>
          </w:p>
          <w:p w14:paraId="3FA9715F" w14:textId="77777777" w:rsidR="00736FCA" w:rsidRPr="00736FCA" w:rsidRDefault="00736FCA" w:rsidP="00971FA8">
            <w:r w:rsidRPr="00736FCA">
              <w:t xml:space="preserve">Zmiana trybu kształcenia w uczelniach wywołana przez epidemię COVID-19 i nieustanny rozwój edukacji cyfrowej powoduje potrzebę zapewnienia wykładowcom szkolnictwa wyższego wsparcia kompetencji cyfrowych, w tym w zakresie edukacji medialnej, koniecznych do kształcenia w formie zdalnej i hybrydowej. </w:t>
            </w:r>
          </w:p>
          <w:p w14:paraId="626F31F6" w14:textId="77777777" w:rsidR="00736FCA" w:rsidRPr="00736FCA" w:rsidRDefault="00736FCA" w:rsidP="00971FA8">
            <w:r>
              <w:t xml:space="preserve">Uzupełnienie: 2. </w:t>
            </w:r>
            <w:r w:rsidRPr="00736FCA">
              <w:t>Przygotowanie nauczycieli do pełnienia na terenie szkoły roli koordynatorów wspierających innych nauczycieli w zakresie rozwijania umiejętności cyfrowych uczniów, w tym umiejętności świadomego i krytycznego odbioru mediów.</w:t>
            </w:r>
          </w:p>
          <w:p w14:paraId="5EDC8C26" w14:textId="77777777" w:rsidR="00736FCA" w:rsidRDefault="00736FCA" w:rsidP="00971FA8"/>
        </w:tc>
        <w:tc>
          <w:tcPr>
            <w:tcW w:w="3638" w:type="dxa"/>
          </w:tcPr>
          <w:p w14:paraId="4DF96937" w14:textId="20269D4D" w:rsidR="005834FB" w:rsidRDefault="00077DF9" w:rsidP="00971FA8">
            <w:r>
              <w:t>U</w:t>
            </w:r>
            <w:r w:rsidR="00D3747D">
              <w:t>waga u</w:t>
            </w:r>
            <w:r>
              <w:t>względnion</w:t>
            </w:r>
            <w:r w:rsidR="00D3747D">
              <w:t>a</w:t>
            </w:r>
            <w:r w:rsidR="00686752">
              <w:t>.</w:t>
            </w:r>
          </w:p>
        </w:tc>
      </w:tr>
      <w:tr w:rsidR="005834FB" w14:paraId="6966F4A6" w14:textId="77777777" w:rsidTr="00681E52">
        <w:tc>
          <w:tcPr>
            <w:tcW w:w="768" w:type="dxa"/>
            <w:vAlign w:val="center"/>
          </w:tcPr>
          <w:p w14:paraId="490D6E21" w14:textId="77777777" w:rsidR="005834FB" w:rsidRDefault="005834FB" w:rsidP="00971FA8">
            <w:pPr>
              <w:pStyle w:val="Akapitzlist"/>
              <w:numPr>
                <w:ilvl w:val="0"/>
                <w:numId w:val="1"/>
              </w:numPr>
            </w:pPr>
          </w:p>
        </w:tc>
        <w:tc>
          <w:tcPr>
            <w:tcW w:w="2200" w:type="dxa"/>
          </w:tcPr>
          <w:p w14:paraId="2346BE3C" w14:textId="77777777" w:rsidR="005834FB" w:rsidRDefault="00736FCA" w:rsidP="00971FA8">
            <w:r>
              <w:t>Krajowa Rada Radiofonii i Telewizji</w:t>
            </w:r>
          </w:p>
        </w:tc>
        <w:tc>
          <w:tcPr>
            <w:tcW w:w="2686" w:type="dxa"/>
          </w:tcPr>
          <w:p w14:paraId="6BFCB9E5" w14:textId="77777777" w:rsidR="005834FB" w:rsidRDefault="00736FCA" w:rsidP="00971FA8">
            <w:r>
              <w:t>s. 65</w:t>
            </w:r>
          </w:p>
        </w:tc>
        <w:tc>
          <w:tcPr>
            <w:tcW w:w="4737" w:type="dxa"/>
          </w:tcPr>
          <w:p w14:paraId="59746593" w14:textId="77777777" w:rsidR="00736FCA" w:rsidRPr="00736FCA" w:rsidRDefault="00736FCA" w:rsidP="00971FA8">
            <w:r>
              <w:t xml:space="preserve">Uzupełnienie: I.4.9. </w:t>
            </w:r>
            <w:r w:rsidRPr="00736FCA">
              <w:t xml:space="preserve">Działania wspierające nauczanie o edukacji medialnej, higienie cyfrowej i </w:t>
            </w:r>
            <w:proofErr w:type="spellStart"/>
            <w:r w:rsidRPr="00736FCA">
              <w:t>cyberbezpieczeństwie</w:t>
            </w:r>
            <w:proofErr w:type="spellEnd"/>
            <w:r w:rsidRPr="00736FCA">
              <w:t xml:space="preserve"> (</w:t>
            </w:r>
            <w:proofErr w:type="spellStart"/>
            <w:r w:rsidRPr="00736FCA">
              <w:t>Cyberlekcje</w:t>
            </w:r>
            <w:proofErr w:type="spellEnd"/>
            <w:r w:rsidRPr="00736FCA">
              <w:t>)</w:t>
            </w:r>
          </w:p>
          <w:p w14:paraId="61699B15" w14:textId="77777777" w:rsidR="005834FB" w:rsidRDefault="005834FB" w:rsidP="00971FA8"/>
        </w:tc>
        <w:tc>
          <w:tcPr>
            <w:tcW w:w="3638" w:type="dxa"/>
          </w:tcPr>
          <w:p w14:paraId="2B6F56F0" w14:textId="046D5CA2" w:rsidR="005834FB" w:rsidRDefault="00077DF9" w:rsidP="00971FA8">
            <w:r>
              <w:t>U</w:t>
            </w:r>
            <w:r w:rsidR="00D3747D">
              <w:t>waga u</w:t>
            </w:r>
            <w:r>
              <w:t>względnion</w:t>
            </w:r>
            <w:r w:rsidR="00D3747D">
              <w:t>a</w:t>
            </w:r>
            <w:r w:rsidR="00686752">
              <w:t>.</w:t>
            </w:r>
          </w:p>
        </w:tc>
      </w:tr>
      <w:tr w:rsidR="005834FB" w14:paraId="39F9CD0C" w14:textId="77777777" w:rsidTr="00681E52">
        <w:tc>
          <w:tcPr>
            <w:tcW w:w="768" w:type="dxa"/>
            <w:vAlign w:val="center"/>
          </w:tcPr>
          <w:p w14:paraId="2DC47EBD" w14:textId="77777777" w:rsidR="005834FB" w:rsidRDefault="005834FB" w:rsidP="00971FA8">
            <w:pPr>
              <w:pStyle w:val="Akapitzlist"/>
              <w:numPr>
                <w:ilvl w:val="0"/>
                <w:numId w:val="1"/>
              </w:numPr>
            </w:pPr>
          </w:p>
        </w:tc>
        <w:tc>
          <w:tcPr>
            <w:tcW w:w="2200" w:type="dxa"/>
          </w:tcPr>
          <w:p w14:paraId="663EEADB" w14:textId="77777777" w:rsidR="005834FB" w:rsidRDefault="00736FCA" w:rsidP="00971FA8">
            <w:r>
              <w:t>Krajowa Rada Radiofonii i Telewizji</w:t>
            </w:r>
          </w:p>
        </w:tc>
        <w:tc>
          <w:tcPr>
            <w:tcW w:w="2686" w:type="dxa"/>
          </w:tcPr>
          <w:p w14:paraId="16C4B75E" w14:textId="77777777" w:rsidR="005834FB" w:rsidRDefault="00736FCA" w:rsidP="00971FA8">
            <w:r>
              <w:t>s. 66</w:t>
            </w:r>
          </w:p>
        </w:tc>
        <w:tc>
          <w:tcPr>
            <w:tcW w:w="4737" w:type="dxa"/>
          </w:tcPr>
          <w:p w14:paraId="13BB4287" w14:textId="77777777" w:rsidR="00736FCA" w:rsidRPr="00736FCA" w:rsidRDefault="00736FCA" w:rsidP="00971FA8">
            <w:r w:rsidRPr="00736FCA">
              <w:t xml:space="preserve">W celu zapewnienia uczniom bezpieczeństwa w intrenecie konieczne jest także nabycie wiedzy dotyczącej świadomego i krytycznego korzystania </w:t>
            </w:r>
            <w:r w:rsidRPr="00736FCA">
              <w:lastRenderedPageBreak/>
              <w:t>z treści, odporności na dezinformację, cyberprzemocy i higieny cyfrowej.</w:t>
            </w:r>
          </w:p>
          <w:p w14:paraId="11F4036C" w14:textId="77777777" w:rsidR="005834FB" w:rsidRDefault="005834FB" w:rsidP="00971FA8"/>
        </w:tc>
        <w:tc>
          <w:tcPr>
            <w:tcW w:w="3638" w:type="dxa"/>
          </w:tcPr>
          <w:p w14:paraId="5933F98F" w14:textId="7287552A" w:rsidR="005834FB" w:rsidRDefault="00933C5B" w:rsidP="00971FA8">
            <w:r>
              <w:lastRenderedPageBreak/>
              <w:t>U</w:t>
            </w:r>
            <w:r w:rsidR="00D3747D">
              <w:t>waga u</w:t>
            </w:r>
            <w:r>
              <w:t>względnion</w:t>
            </w:r>
            <w:r w:rsidR="00D3747D">
              <w:t>a</w:t>
            </w:r>
            <w:r w:rsidR="00686752">
              <w:t>.</w:t>
            </w:r>
          </w:p>
        </w:tc>
      </w:tr>
      <w:tr w:rsidR="005834FB" w14:paraId="38B2DA7C" w14:textId="77777777" w:rsidTr="00681E52">
        <w:tc>
          <w:tcPr>
            <w:tcW w:w="768" w:type="dxa"/>
            <w:vAlign w:val="center"/>
          </w:tcPr>
          <w:p w14:paraId="3F3C26FE" w14:textId="77777777" w:rsidR="005834FB" w:rsidRDefault="005834FB" w:rsidP="00971FA8">
            <w:pPr>
              <w:pStyle w:val="Akapitzlist"/>
              <w:numPr>
                <w:ilvl w:val="0"/>
                <w:numId w:val="1"/>
              </w:numPr>
            </w:pPr>
          </w:p>
        </w:tc>
        <w:tc>
          <w:tcPr>
            <w:tcW w:w="2200" w:type="dxa"/>
          </w:tcPr>
          <w:p w14:paraId="01B0ABC1" w14:textId="77777777" w:rsidR="005834FB" w:rsidRDefault="00736FCA" w:rsidP="00971FA8">
            <w:r>
              <w:t>Krajowa Rada Radiofonii i Telewizji</w:t>
            </w:r>
          </w:p>
        </w:tc>
        <w:tc>
          <w:tcPr>
            <w:tcW w:w="2686" w:type="dxa"/>
          </w:tcPr>
          <w:p w14:paraId="71B9B78B" w14:textId="77777777" w:rsidR="005834FB" w:rsidRDefault="00736FCA" w:rsidP="00971FA8">
            <w:r>
              <w:t>s. 69</w:t>
            </w:r>
          </w:p>
        </w:tc>
        <w:tc>
          <w:tcPr>
            <w:tcW w:w="4737" w:type="dxa"/>
          </w:tcPr>
          <w:p w14:paraId="7CC344AF" w14:textId="77777777" w:rsidR="00736FCA" w:rsidRPr="00736FCA" w:rsidRDefault="00736FCA" w:rsidP="00971FA8">
            <w:r>
              <w:t xml:space="preserve">Uzupełnienie: 3. </w:t>
            </w:r>
            <w:r w:rsidRPr="00736FCA">
              <w:t xml:space="preserve">Upowszechnienie wiedzy z zakresu edukacji medialnej, higieny, etyki cyfrowej i </w:t>
            </w:r>
            <w:proofErr w:type="spellStart"/>
            <w:r w:rsidRPr="00736FCA">
              <w:t>cyberbezpieczeństwa</w:t>
            </w:r>
            <w:proofErr w:type="spellEnd"/>
            <w:r w:rsidRPr="00736FCA">
              <w:t>.</w:t>
            </w:r>
          </w:p>
          <w:p w14:paraId="6A2EE1C9" w14:textId="77777777" w:rsidR="005834FB" w:rsidRDefault="005834FB" w:rsidP="00971FA8"/>
        </w:tc>
        <w:tc>
          <w:tcPr>
            <w:tcW w:w="3638" w:type="dxa"/>
          </w:tcPr>
          <w:p w14:paraId="2398D1BC" w14:textId="4CDB33CD" w:rsidR="005834FB" w:rsidRDefault="00B50FF0" w:rsidP="00971FA8">
            <w:r>
              <w:t>U</w:t>
            </w:r>
            <w:r w:rsidR="00D3747D">
              <w:t>waga u</w:t>
            </w:r>
            <w:r>
              <w:t>względnion</w:t>
            </w:r>
            <w:r w:rsidR="00D3747D">
              <w:t>a</w:t>
            </w:r>
            <w:r w:rsidR="00686752">
              <w:t>.</w:t>
            </w:r>
          </w:p>
        </w:tc>
      </w:tr>
      <w:tr w:rsidR="005834FB" w14:paraId="6F00B093" w14:textId="77777777" w:rsidTr="00681E52">
        <w:tc>
          <w:tcPr>
            <w:tcW w:w="768" w:type="dxa"/>
            <w:vAlign w:val="center"/>
          </w:tcPr>
          <w:p w14:paraId="4074A1EF" w14:textId="77777777" w:rsidR="005834FB" w:rsidRDefault="005834FB" w:rsidP="00971FA8">
            <w:pPr>
              <w:pStyle w:val="Akapitzlist"/>
              <w:numPr>
                <w:ilvl w:val="0"/>
                <w:numId w:val="1"/>
              </w:numPr>
            </w:pPr>
          </w:p>
        </w:tc>
        <w:tc>
          <w:tcPr>
            <w:tcW w:w="2200" w:type="dxa"/>
          </w:tcPr>
          <w:p w14:paraId="55753453" w14:textId="77777777" w:rsidR="005834FB" w:rsidRDefault="00736FCA" w:rsidP="00971FA8">
            <w:r>
              <w:t>Krajowa Rada Radiofonii i Telewizji</w:t>
            </w:r>
          </w:p>
        </w:tc>
        <w:tc>
          <w:tcPr>
            <w:tcW w:w="2686" w:type="dxa"/>
          </w:tcPr>
          <w:p w14:paraId="0C654094" w14:textId="77777777" w:rsidR="005834FB" w:rsidRDefault="00736FCA" w:rsidP="00971FA8">
            <w:r>
              <w:t>s. 71</w:t>
            </w:r>
          </w:p>
        </w:tc>
        <w:tc>
          <w:tcPr>
            <w:tcW w:w="4737" w:type="dxa"/>
          </w:tcPr>
          <w:p w14:paraId="236B1AE0" w14:textId="77777777" w:rsidR="00736FCA" w:rsidRPr="00736FCA" w:rsidRDefault="00736FCA" w:rsidP="00971FA8">
            <w:r>
              <w:t xml:space="preserve">Uzupełnienie: </w:t>
            </w:r>
            <w:r w:rsidRPr="00736FCA">
              <w:t>bezpieczeństwo w sieci – komunikacja jest skierowana do dorosłych obywateli, w szczególności do rodziców i opiekunów dzieci i młodzieży. Celem kampanii jest informowanie o zagrożeniach w sieci, w tym dezinformacji oraz sposobach radzenia sobie z nimi, w tym weryfikacji informacji przed dalszym udostępnieniem.</w:t>
            </w:r>
          </w:p>
          <w:p w14:paraId="5EF2C430" w14:textId="77777777" w:rsidR="005834FB" w:rsidRDefault="005834FB" w:rsidP="00971FA8"/>
        </w:tc>
        <w:tc>
          <w:tcPr>
            <w:tcW w:w="3638" w:type="dxa"/>
          </w:tcPr>
          <w:p w14:paraId="225D43D9" w14:textId="105F2FF1" w:rsidR="005834FB" w:rsidRDefault="00056C03" w:rsidP="00971FA8">
            <w:r>
              <w:t>U</w:t>
            </w:r>
            <w:r w:rsidR="00D3747D">
              <w:t>waga u</w:t>
            </w:r>
            <w:r>
              <w:t>względnion</w:t>
            </w:r>
            <w:r w:rsidR="00D3747D">
              <w:t>a</w:t>
            </w:r>
            <w:r w:rsidR="00686752">
              <w:t>.</w:t>
            </w:r>
          </w:p>
        </w:tc>
      </w:tr>
      <w:tr w:rsidR="005834FB" w14:paraId="1DF82973" w14:textId="77777777" w:rsidTr="00681E52">
        <w:tc>
          <w:tcPr>
            <w:tcW w:w="768" w:type="dxa"/>
            <w:vAlign w:val="center"/>
          </w:tcPr>
          <w:p w14:paraId="0882E1F4" w14:textId="77777777" w:rsidR="005834FB" w:rsidRDefault="005834FB" w:rsidP="00971FA8">
            <w:pPr>
              <w:pStyle w:val="Akapitzlist"/>
              <w:numPr>
                <w:ilvl w:val="0"/>
                <w:numId w:val="1"/>
              </w:numPr>
            </w:pPr>
          </w:p>
        </w:tc>
        <w:tc>
          <w:tcPr>
            <w:tcW w:w="2200" w:type="dxa"/>
          </w:tcPr>
          <w:p w14:paraId="20230C82" w14:textId="77777777" w:rsidR="005834FB" w:rsidRDefault="00736FCA" w:rsidP="00971FA8">
            <w:r>
              <w:t>Krajowa Rada Radiofonii i Telewizji</w:t>
            </w:r>
          </w:p>
        </w:tc>
        <w:tc>
          <w:tcPr>
            <w:tcW w:w="2686" w:type="dxa"/>
          </w:tcPr>
          <w:p w14:paraId="7BA399E9" w14:textId="77777777" w:rsidR="005834FB" w:rsidRDefault="00BD75E9" w:rsidP="00971FA8">
            <w:r>
              <w:t>s. 72</w:t>
            </w:r>
          </w:p>
        </w:tc>
        <w:tc>
          <w:tcPr>
            <w:tcW w:w="4737" w:type="dxa"/>
          </w:tcPr>
          <w:p w14:paraId="4E5472CF" w14:textId="77777777" w:rsidR="005834FB" w:rsidRDefault="00BD75E9" w:rsidP="00971FA8">
            <w:r>
              <w:t xml:space="preserve">Uzupełnienie: </w:t>
            </w:r>
            <w:r w:rsidRPr="00BD75E9">
              <w:t xml:space="preserve">Będą obejmowały w szczególności komunikację dotyczącą promowania podnoszenia kompetencji cyfrowych, e-usług publicznych, bezpieczeństwa w sieci, w tym edukacji medialnej i </w:t>
            </w:r>
            <w:proofErr w:type="spellStart"/>
            <w:r w:rsidRPr="00BD75E9">
              <w:t>cyberhigieny</w:t>
            </w:r>
            <w:proofErr w:type="spellEnd"/>
            <w:r w:rsidRPr="00BD75E9">
              <w:t>.</w:t>
            </w:r>
          </w:p>
          <w:p w14:paraId="18C55016" w14:textId="77777777" w:rsidR="00BD75E9" w:rsidRDefault="00BD75E9" w:rsidP="00971FA8">
            <w:r>
              <w:t xml:space="preserve">Uzupełnienie: </w:t>
            </w:r>
            <w:r w:rsidRPr="00BD75E9">
              <w:t>Projekt kierowany jest do rodziców i opiekunów dzieci w wieku przedszkolnym i szkolnym w zakresie bezpiecznego korzystania z mediów i nowych technologii</w:t>
            </w:r>
          </w:p>
        </w:tc>
        <w:tc>
          <w:tcPr>
            <w:tcW w:w="3638" w:type="dxa"/>
          </w:tcPr>
          <w:p w14:paraId="649E0A25" w14:textId="6FF067AA" w:rsidR="005834FB" w:rsidRDefault="00056C03" w:rsidP="00971FA8">
            <w:r>
              <w:t>U</w:t>
            </w:r>
            <w:r w:rsidR="00D3747D">
              <w:t>waga u</w:t>
            </w:r>
            <w:r>
              <w:t>względnion</w:t>
            </w:r>
            <w:r w:rsidR="00D3747D">
              <w:t>a</w:t>
            </w:r>
            <w:r w:rsidR="00686752">
              <w:t>.</w:t>
            </w:r>
          </w:p>
        </w:tc>
      </w:tr>
      <w:tr w:rsidR="005834FB" w14:paraId="045764A9" w14:textId="77777777" w:rsidTr="00681E52">
        <w:tc>
          <w:tcPr>
            <w:tcW w:w="768" w:type="dxa"/>
            <w:vAlign w:val="center"/>
          </w:tcPr>
          <w:p w14:paraId="545AEBDB" w14:textId="77777777" w:rsidR="005834FB" w:rsidRDefault="005834FB" w:rsidP="00971FA8">
            <w:pPr>
              <w:pStyle w:val="Akapitzlist"/>
              <w:numPr>
                <w:ilvl w:val="0"/>
                <w:numId w:val="1"/>
              </w:numPr>
            </w:pPr>
          </w:p>
        </w:tc>
        <w:tc>
          <w:tcPr>
            <w:tcW w:w="2200" w:type="dxa"/>
          </w:tcPr>
          <w:p w14:paraId="3F170A8C" w14:textId="77777777" w:rsidR="005834FB" w:rsidRDefault="00BD75E9" w:rsidP="00971FA8">
            <w:r>
              <w:t>Krajowa Rada Radiofonii i Telewizji</w:t>
            </w:r>
          </w:p>
        </w:tc>
        <w:tc>
          <w:tcPr>
            <w:tcW w:w="2686" w:type="dxa"/>
          </w:tcPr>
          <w:p w14:paraId="71FC7C77" w14:textId="77777777" w:rsidR="005834FB" w:rsidRDefault="00BD75E9" w:rsidP="00971FA8">
            <w:r>
              <w:t>s. 73</w:t>
            </w:r>
          </w:p>
        </w:tc>
        <w:tc>
          <w:tcPr>
            <w:tcW w:w="4737" w:type="dxa"/>
          </w:tcPr>
          <w:p w14:paraId="7E3FD8BD" w14:textId="77777777" w:rsidR="005834FB" w:rsidRDefault="00BD75E9" w:rsidP="00971FA8">
            <w:r>
              <w:t xml:space="preserve">Uzupełnienie: </w:t>
            </w:r>
            <w:r w:rsidRPr="00BD75E9">
              <w:t xml:space="preserve">W zależności od potrzeb, zostaną oni wyposażeni w takie umiejętności i kompetencje cyfrowe jak: korzystanie z e-usług, załatwianie spraw administracyjnych, obsługa komputera, komunikacja online, wykorzystanie użytecznych narzędzi cyfrowych, w tym programów ułatwiających funkcjonowanie osób niepełnosprawnych, umożliwiających nauczanie i </w:t>
            </w:r>
            <w:r w:rsidRPr="00BD75E9">
              <w:lastRenderedPageBreak/>
              <w:t>uczenie się online, pracę zdalną, korzystanie ze środków identyfikacji elektronicznej, bezpieczne, świadome i krytyczne korzystanie z mediów i z technologii cyfrowych.</w:t>
            </w:r>
          </w:p>
        </w:tc>
        <w:tc>
          <w:tcPr>
            <w:tcW w:w="3638" w:type="dxa"/>
          </w:tcPr>
          <w:p w14:paraId="726AC012" w14:textId="2EBEFCAE" w:rsidR="005834FB" w:rsidRDefault="00056C03" w:rsidP="00971FA8">
            <w:r>
              <w:lastRenderedPageBreak/>
              <w:t>U</w:t>
            </w:r>
            <w:r w:rsidR="00D3747D">
              <w:t>waga u</w:t>
            </w:r>
            <w:r>
              <w:t>względnion</w:t>
            </w:r>
            <w:r w:rsidR="00D3747D">
              <w:t>a</w:t>
            </w:r>
            <w:r w:rsidR="00686752">
              <w:t>.</w:t>
            </w:r>
          </w:p>
        </w:tc>
      </w:tr>
      <w:tr w:rsidR="005834FB" w14:paraId="0F76C2AC" w14:textId="77777777" w:rsidTr="00681E52">
        <w:tc>
          <w:tcPr>
            <w:tcW w:w="768" w:type="dxa"/>
            <w:vAlign w:val="center"/>
          </w:tcPr>
          <w:p w14:paraId="27BD4D16" w14:textId="77777777" w:rsidR="005834FB" w:rsidRDefault="005834FB" w:rsidP="00971FA8">
            <w:pPr>
              <w:pStyle w:val="Akapitzlist"/>
              <w:numPr>
                <w:ilvl w:val="0"/>
                <w:numId w:val="1"/>
              </w:numPr>
            </w:pPr>
          </w:p>
        </w:tc>
        <w:tc>
          <w:tcPr>
            <w:tcW w:w="2200" w:type="dxa"/>
          </w:tcPr>
          <w:p w14:paraId="2443067B" w14:textId="77777777" w:rsidR="005834FB" w:rsidRDefault="00BD75E9" w:rsidP="00971FA8">
            <w:r>
              <w:t>Krajowa Rada Radiofonii i Telewizji</w:t>
            </w:r>
          </w:p>
        </w:tc>
        <w:tc>
          <w:tcPr>
            <w:tcW w:w="2686" w:type="dxa"/>
          </w:tcPr>
          <w:p w14:paraId="3A5C6D15" w14:textId="77777777" w:rsidR="005834FB" w:rsidRDefault="00BD75E9" w:rsidP="00971FA8">
            <w:r>
              <w:t>s. 77</w:t>
            </w:r>
          </w:p>
        </w:tc>
        <w:tc>
          <w:tcPr>
            <w:tcW w:w="4737" w:type="dxa"/>
          </w:tcPr>
          <w:p w14:paraId="06D194A7" w14:textId="77777777" w:rsidR="005834FB" w:rsidRDefault="00BD75E9" w:rsidP="00971FA8">
            <w:r>
              <w:t xml:space="preserve">Uzupełnienie: </w:t>
            </w:r>
            <w:r w:rsidRPr="00BD75E9">
              <w:t>Zwiększanie umiejętności posługiwania się nowoczesnymi technologiami i bezpiecznego, świadomego i krytycznego korzystania z nowych mediów przez osoby starsze, a także upowszechnianie i wdrażanie rozwiązań technologicznych sprzyjających włączaniu społecznemu oraz bezpiecznemu funkcjonowaniu osób starszych, w tym wiedza o zagrożeniach związanych z dezinformacją i narzędziach do weryfikowania informacji.</w:t>
            </w:r>
          </w:p>
        </w:tc>
        <w:tc>
          <w:tcPr>
            <w:tcW w:w="3638" w:type="dxa"/>
          </w:tcPr>
          <w:p w14:paraId="31406BDD" w14:textId="74C5D765" w:rsidR="005834FB" w:rsidRDefault="00056C03" w:rsidP="00971FA8">
            <w:r>
              <w:t>U</w:t>
            </w:r>
            <w:r w:rsidR="00D3747D">
              <w:t>waga u</w:t>
            </w:r>
            <w:r>
              <w:t>względnio</w:t>
            </w:r>
            <w:r w:rsidR="00D3747D">
              <w:t>na</w:t>
            </w:r>
            <w:r w:rsidR="00686752">
              <w:t>.</w:t>
            </w:r>
          </w:p>
        </w:tc>
      </w:tr>
      <w:tr w:rsidR="005834FB" w14:paraId="3FB72047" w14:textId="77777777" w:rsidTr="00681E52">
        <w:tc>
          <w:tcPr>
            <w:tcW w:w="768" w:type="dxa"/>
            <w:vAlign w:val="center"/>
          </w:tcPr>
          <w:p w14:paraId="5A16FB9A" w14:textId="77777777" w:rsidR="005834FB" w:rsidRDefault="005834FB" w:rsidP="00971FA8">
            <w:pPr>
              <w:pStyle w:val="Akapitzlist"/>
              <w:numPr>
                <w:ilvl w:val="0"/>
                <w:numId w:val="1"/>
              </w:numPr>
            </w:pPr>
          </w:p>
        </w:tc>
        <w:tc>
          <w:tcPr>
            <w:tcW w:w="2200" w:type="dxa"/>
          </w:tcPr>
          <w:p w14:paraId="3EBF28D9" w14:textId="77777777" w:rsidR="005834FB" w:rsidRDefault="00BD75E9" w:rsidP="00971FA8">
            <w:r>
              <w:t>Krajowa Rada Radiofonii i Telewizji</w:t>
            </w:r>
          </w:p>
        </w:tc>
        <w:tc>
          <w:tcPr>
            <w:tcW w:w="2686" w:type="dxa"/>
          </w:tcPr>
          <w:p w14:paraId="468EE7DF" w14:textId="77777777" w:rsidR="005834FB" w:rsidRDefault="00BD75E9" w:rsidP="00971FA8">
            <w:r>
              <w:t>s. 101</w:t>
            </w:r>
          </w:p>
        </w:tc>
        <w:tc>
          <w:tcPr>
            <w:tcW w:w="4737" w:type="dxa"/>
          </w:tcPr>
          <w:p w14:paraId="73622416" w14:textId="77777777" w:rsidR="005834FB" w:rsidRDefault="00BD75E9" w:rsidP="00971FA8">
            <w:r>
              <w:t xml:space="preserve">Uzupełnienie w tabeli do II.1.2: </w:t>
            </w:r>
            <w:r w:rsidRPr="00BD75E9">
              <w:t>NASK, Centrum Nauki Kopernik, KRRiT</w:t>
            </w:r>
          </w:p>
        </w:tc>
        <w:tc>
          <w:tcPr>
            <w:tcW w:w="3638" w:type="dxa"/>
          </w:tcPr>
          <w:p w14:paraId="170F442D" w14:textId="64E53A98" w:rsidR="005834FB" w:rsidRDefault="00AB6EBB" w:rsidP="00971FA8">
            <w:r>
              <w:t>U</w:t>
            </w:r>
            <w:r w:rsidR="00D3747D">
              <w:t>waga u</w:t>
            </w:r>
            <w:r>
              <w:t>względnio</w:t>
            </w:r>
            <w:r w:rsidR="00D3747D">
              <w:t>na</w:t>
            </w:r>
            <w:r w:rsidR="00686752">
              <w:t>.</w:t>
            </w:r>
          </w:p>
        </w:tc>
      </w:tr>
      <w:tr w:rsidR="00D67F01" w14:paraId="2D1199E4" w14:textId="77777777" w:rsidTr="00681E52">
        <w:tc>
          <w:tcPr>
            <w:tcW w:w="768" w:type="dxa"/>
            <w:vAlign w:val="center"/>
          </w:tcPr>
          <w:p w14:paraId="6F5E2AE4" w14:textId="77777777" w:rsidR="00D67F01" w:rsidRDefault="00D67F01" w:rsidP="00971FA8">
            <w:pPr>
              <w:pStyle w:val="Akapitzlist"/>
              <w:numPr>
                <w:ilvl w:val="0"/>
                <w:numId w:val="1"/>
              </w:numPr>
            </w:pPr>
          </w:p>
        </w:tc>
        <w:tc>
          <w:tcPr>
            <w:tcW w:w="2200" w:type="dxa"/>
          </w:tcPr>
          <w:p w14:paraId="0AA06AA3" w14:textId="77777777" w:rsidR="00D67F01" w:rsidRDefault="00D67F01" w:rsidP="00971FA8">
            <w:r w:rsidRPr="00D67F01">
              <w:t>Główny Urząd Statystyczny</w:t>
            </w:r>
          </w:p>
        </w:tc>
        <w:tc>
          <w:tcPr>
            <w:tcW w:w="2686" w:type="dxa"/>
          </w:tcPr>
          <w:p w14:paraId="4727A1CB" w14:textId="77777777" w:rsidR="00D67F01" w:rsidRDefault="00D67F01" w:rsidP="00971FA8">
            <w:r>
              <w:t>Wykaz skrótów</w:t>
            </w:r>
          </w:p>
        </w:tc>
        <w:tc>
          <w:tcPr>
            <w:tcW w:w="4737" w:type="dxa"/>
          </w:tcPr>
          <w:p w14:paraId="5676B386" w14:textId="77777777" w:rsidR="00D67F01" w:rsidRDefault="00D67F01" w:rsidP="00971FA8">
            <w:proofErr w:type="spellStart"/>
            <w:r>
              <w:t>Datafikacja</w:t>
            </w:r>
            <w:proofErr w:type="spellEnd"/>
            <w:r>
              <w:t>: „</w:t>
            </w:r>
            <w:proofErr w:type="spellStart"/>
            <w:r>
              <w:t>digityzacji</w:t>
            </w:r>
            <w:proofErr w:type="spellEnd"/>
            <w:r>
              <w:t>” zamienić na</w:t>
            </w:r>
            <w:r w:rsidRPr="00D67F01">
              <w:t xml:space="preserve"> „digitalizacji”. Proponujemy uzupełnienie treści o wyjaśnienie terminu digitalizacja.</w:t>
            </w:r>
          </w:p>
          <w:p w14:paraId="22D20029" w14:textId="77777777" w:rsidR="00D67F01" w:rsidRDefault="00D67F01" w:rsidP="00971FA8">
            <w:r w:rsidRPr="00D67F01">
              <w:t>Edukacja cyfrowa</w:t>
            </w:r>
            <w:r>
              <w:t>: usunąć słowo „obejmuje”.</w:t>
            </w:r>
          </w:p>
          <w:p w14:paraId="6D5CEE9F" w14:textId="77777777" w:rsidR="00474912" w:rsidRDefault="00474912" w:rsidP="00971FA8"/>
          <w:p w14:paraId="213B3FC7" w14:textId="77777777" w:rsidR="00D67F01" w:rsidRDefault="00D67F01" w:rsidP="00971FA8">
            <w:r w:rsidRPr="00D67F01">
              <w:t>Higiena cyfrowa</w:t>
            </w:r>
            <w:r>
              <w:t xml:space="preserve">: </w:t>
            </w:r>
            <w:r w:rsidRPr="00D67F01">
              <w:t>Proponujemy sformułowanie „</w:t>
            </w:r>
            <w:proofErr w:type="spellStart"/>
            <w:r w:rsidRPr="00D67F01">
              <w:t>cyberhigiena</w:t>
            </w:r>
            <w:proofErr w:type="spellEnd"/>
            <w:r w:rsidRPr="00D67F01">
              <w:t>” przenieść do kolumny „Pojęcie” tj. „Higiena cyfrowa/</w:t>
            </w:r>
            <w:proofErr w:type="spellStart"/>
            <w:r w:rsidRPr="00D67F01">
              <w:t>cyberhigiena</w:t>
            </w:r>
            <w:proofErr w:type="spellEnd"/>
            <w:r w:rsidRPr="00D67F01">
              <w:t>”</w:t>
            </w:r>
            <w:r>
              <w:t>.</w:t>
            </w:r>
          </w:p>
          <w:p w14:paraId="790A6C10" w14:textId="77777777" w:rsidR="00F15FA3" w:rsidRDefault="00F15FA3" w:rsidP="00971FA8"/>
          <w:p w14:paraId="1FE0998D" w14:textId="77777777" w:rsidR="00D67F01" w:rsidRDefault="00D67F01" w:rsidP="00971FA8">
            <w:r w:rsidRPr="00D67F01">
              <w:t>Technologie cyfrowe</w:t>
            </w:r>
            <w:r>
              <w:t xml:space="preserve">: </w:t>
            </w:r>
            <w:r w:rsidRPr="00D67F01">
              <w:t xml:space="preserve">Uważamy, że pojęcia </w:t>
            </w:r>
            <w:r w:rsidRPr="00D67F01">
              <w:rPr>
                <w:i/>
              </w:rPr>
              <w:t>Big Data</w:t>
            </w:r>
            <w:r w:rsidRPr="00D67F01">
              <w:t xml:space="preserve"> </w:t>
            </w:r>
            <w:proofErr w:type="spellStart"/>
            <w:r w:rsidRPr="00D67F01">
              <w:rPr>
                <w:i/>
              </w:rPr>
              <w:t>blockchain</w:t>
            </w:r>
            <w:proofErr w:type="spellEnd"/>
            <w:r w:rsidRPr="00D67F01">
              <w:t xml:space="preserve">, </w:t>
            </w:r>
            <w:r w:rsidRPr="00D67F01">
              <w:rPr>
                <w:i/>
              </w:rPr>
              <w:t>technologie symulacji, systemy integracji danych</w:t>
            </w:r>
            <w:r w:rsidRPr="00D67F01">
              <w:t xml:space="preserve"> wymagają zamieszczenia (obok w nawiasie) krótkich objaśnień.</w:t>
            </w:r>
          </w:p>
        </w:tc>
        <w:tc>
          <w:tcPr>
            <w:tcW w:w="3638" w:type="dxa"/>
          </w:tcPr>
          <w:p w14:paraId="066F73E4" w14:textId="4905D1A1" w:rsidR="006F5C57" w:rsidRDefault="006F5C57" w:rsidP="00971FA8">
            <w:r>
              <w:t>Uw</w:t>
            </w:r>
            <w:r w:rsidR="00D3747D">
              <w:t>aga uw</w:t>
            </w:r>
            <w:r>
              <w:t>zględnion</w:t>
            </w:r>
            <w:r w:rsidR="00D3747D">
              <w:t>a</w:t>
            </w:r>
            <w:r w:rsidR="00686752">
              <w:t>.</w:t>
            </w:r>
          </w:p>
          <w:p w14:paraId="7CBDB81C" w14:textId="77777777" w:rsidR="006F5C57" w:rsidRDefault="006F5C57" w:rsidP="00971FA8"/>
          <w:p w14:paraId="154CF28D" w14:textId="77777777" w:rsidR="006F5C57" w:rsidRDefault="006F5C57" w:rsidP="00971FA8"/>
          <w:p w14:paraId="4401BFBF" w14:textId="7F47E35A" w:rsidR="006F5C57" w:rsidRDefault="006F5C57" w:rsidP="00971FA8">
            <w:r>
              <w:t>U</w:t>
            </w:r>
            <w:r w:rsidR="00D3747D">
              <w:t>waga u</w:t>
            </w:r>
            <w:r>
              <w:t>względnion</w:t>
            </w:r>
            <w:r w:rsidR="00D3747D">
              <w:t>a</w:t>
            </w:r>
            <w:r w:rsidR="00686752">
              <w:t>.</w:t>
            </w:r>
          </w:p>
          <w:p w14:paraId="1225E8E4" w14:textId="77777777" w:rsidR="001D0419" w:rsidRDefault="001D0419" w:rsidP="00971FA8"/>
          <w:p w14:paraId="536438E3" w14:textId="422A45B2" w:rsidR="0034532A" w:rsidRDefault="00D3747D" w:rsidP="00971FA8">
            <w:r>
              <w:t>Uwaga nie</w:t>
            </w:r>
            <w:r w:rsidR="00F15FA3" w:rsidRPr="00F15FA3">
              <w:t>uwzględnion</w:t>
            </w:r>
            <w:r>
              <w:t>a</w:t>
            </w:r>
            <w:r w:rsidR="00457570">
              <w:t>. B</w:t>
            </w:r>
            <w:r w:rsidR="00F15FA3">
              <w:t>ardziej rozpowszechnionym pojęciem jest higiena cyfrowa</w:t>
            </w:r>
            <w:r w:rsidR="00304140">
              <w:t>.</w:t>
            </w:r>
          </w:p>
          <w:p w14:paraId="46E72FEF" w14:textId="77777777" w:rsidR="00474912" w:rsidRDefault="00474912" w:rsidP="00971FA8"/>
          <w:p w14:paraId="2E26CB00" w14:textId="77777777" w:rsidR="001D0419" w:rsidRPr="00F15FA3" w:rsidRDefault="001D0419" w:rsidP="00971FA8">
            <w:r>
              <w:t xml:space="preserve">Uwzględniono w stosunku do </w:t>
            </w:r>
            <w:r w:rsidRPr="00D67F01">
              <w:t xml:space="preserve">pojęcia </w:t>
            </w:r>
            <w:r w:rsidRPr="00D67F01">
              <w:rPr>
                <w:i/>
              </w:rPr>
              <w:t>Big Data</w:t>
            </w:r>
            <w:r w:rsidRPr="00D67F01">
              <w:t xml:space="preserve"> </w:t>
            </w:r>
            <w:proofErr w:type="spellStart"/>
            <w:r w:rsidRPr="00D67F01">
              <w:rPr>
                <w:i/>
              </w:rPr>
              <w:t>blockchain</w:t>
            </w:r>
            <w:proofErr w:type="spellEnd"/>
            <w:r w:rsidR="00304140">
              <w:rPr>
                <w:i/>
              </w:rPr>
              <w:t>.</w:t>
            </w:r>
          </w:p>
          <w:p w14:paraId="21469D69" w14:textId="77777777" w:rsidR="0034532A" w:rsidRDefault="0034532A" w:rsidP="00971FA8"/>
        </w:tc>
      </w:tr>
      <w:tr w:rsidR="00D67F01" w14:paraId="1B24243A" w14:textId="77777777" w:rsidTr="00681E52">
        <w:tc>
          <w:tcPr>
            <w:tcW w:w="768" w:type="dxa"/>
            <w:vAlign w:val="center"/>
          </w:tcPr>
          <w:p w14:paraId="17498404" w14:textId="77777777" w:rsidR="00D67F01" w:rsidRDefault="00D67F01" w:rsidP="00971FA8">
            <w:pPr>
              <w:pStyle w:val="Akapitzlist"/>
              <w:numPr>
                <w:ilvl w:val="0"/>
                <w:numId w:val="1"/>
              </w:numPr>
            </w:pPr>
          </w:p>
        </w:tc>
        <w:tc>
          <w:tcPr>
            <w:tcW w:w="2200" w:type="dxa"/>
          </w:tcPr>
          <w:p w14:paraId="7A5A4C2A" w14:textId="77777777" w:rsidR="00D67F01" w:rsidRPr="00D67F01" w:rsidRDefault="00D67F01" w:rsidP="00971FA8">
            <w:r>
              <w:t>Główny Urząd Statystyczny</w:t>
            </w:r>
          </w:p>
        </w:tc>
        <w:tc>
          <w:tcPr>
            <w:tcW w:w="2686" w:type="dxa"/>
          </w:tcPr>
          <w:p w14:paraId="7528E8BB" w14:textId="77777777" w:rsidR="00D67F01" w:rsidRDefault="00D67F01" w:rsidP="00971FA8">
            <w:r>
              <w:t>Str. 8</w:t>
            </w:r>
          </w:p>
        </w:tc>
        <w:tc>
          <w:tcPr>
            <w:tcW w:w="4737" w:type="dxa"/>
          </w:tcPr>
          <w:p w14:paraId="3D754957" w14:textId="77777777" w:rsidR="00D67F01" w:rsidRDefault="00D67F01" w:rsidP="00971FA8">
            <w:r w:rsidRPr="00D67F01">
              <w:rPr>
                <w:i/>
              </w:rPr>
              <w:t>Pod względem kapitał ludzkiego, w DESI 2021 Polska zajęła 24. miejsce wśród krajów UE</w:t>
            </w:r>
            <w:r w:rsidRPr="00D67F01">
              <w:t>.</w:t>
            </w:r>
            <w:r>
              <w:t xml:space="preserve"> - </w:t>
            </w:r>
            <w:r w:rsidRPr="00D67F01">
              <w:t>Powinno być „kapitału”.</w:t>
            </w:r>
          </w:p>
        </w:tc>
        <w:tc>
          <w:tcPr>
            <w:tcW w:w="3638" w:type="dxa"/>
          </w:tcPr>
          <w:p w14:paraId="578B6EBD" w14:textId="6AC0A55D" w:rsidR="00D67F01" w:rsidRDefault="00D0326D" w:rsidP="00971FA8">
            <w:r>
              <w:t>U</w:t>
            </w:r>
            <w:r w:rsidR="00D3747D">
              <w:t>waga u</w:t>
            </w:r>
            <w:r w:rsidR="00F15FA3">
              <w:t>w</w:t>
            </w:r>
            <w:r>
              <w:t>zględnion</w:t>
            </w:r>
            <w:r w:rsidR="00D3747D">
              <w:t>a</w:t>
            </w:r>
            <w:r w:rsidR="00686752">
              <w:t>.</w:t>
            </w:r>
          </w:p>
        </w:tc>
      </w:tr>
      <w:tr w:rsidR="005834FB" w14:paraId="18061457" w14:textId="77777777" w:rsidTr="00681E52">
        <w:tc>
          <w:tcPr>
            <w:tcW w:w="768" w:type="dxa"/>
            <w:vAlign w:val="center"/>
          </w:tcPr>
          <w:p w14:paraId="548E7732" w14:textId="77777777" w:rsidR="005834FB" w:rsidRDefault="005834FB" w:rsidP="00971FA8">
            <w:pPr>
              <w:pStyle w:val="Akapitzlist"/>
              <w:numPr>
                <w:ilvl w:val="0"/>
                <w:numId w:val="1"/>
              </w:numPr>
            </w:pPr>
          </w:p>
        </w:tc>
        <w:tc>
          <w:tcPr>
            <w:tcW w:w="2200" w:type="dxa"/>
          </w:tcPr>
          <w:p w14:paraId="787FA6DB" w14:textId="77777777" w:rsidR="005834FB" w:rsidRDefault="00FF53CA" w:rsidP="00971FA8">
            <w:r>
              <w:t>Główny Urząd Statystyczny</w:t>
            </w:r>
          </w:p>
        </w:tc>
        <w:tc>
          <w:tcPr>
            <w:tcW w:w="2686" w:type="dxa"/>
          </w:tcPr>
          <w:p w14:paraId="54311CC3" w14:textId="77777777" w:rsidR="005834FB" w:rsidRDefault="00FF53CA" w:rsidP="00971FA8">
            <w:r>
              <w:t>Wykres 4 str. 19</w:t>
            </w:r>
          </w:p>
        </w:tc>
        <w:tc>
          <w:tcPr>
            <w:tcW w:w="4737" w:type="dxa"/>
          </w:tcPr>
          <w:p w14:paraId="7B2952C2" w14:textId="77777777" w:rsidR="005834FB" w:rsidRDefault="00FF53CA" w:rsidP="00971FA8">
            <w:r w:rsidRPr="00FF53CA">
              <w:t>Sprzedawanie produktów dla Polski – 11%</w:t>
            </w:r>
          </w:p>
        </w:tc>
        <w:tc>
          <w:tcPr>
            <w:tcW w:w="3638" w:type="dxa"/>
          </w:tcPr>
          <w:p w14:paraId="7B58C838" w14:textId="7B94C99B" w:rsidR="005834FB" w:rsidRDefault="008657D1" w:rsidP="00971FA8">
            <w:r>
              <w:t>Uw</w:t>
            </w:r>
            <w:r w:rsidR="00D3747D">
              <w:t>aga uw</w:t>
            </w:r>
            <w:r>
              <w:t>zględnion</w:t>
            </w:r>
            <w:r w:rsidR="00D3747D">
              <w:t>a</w:t>
            </w:r>
            <w:r w:rsidR="00686752">
              <w:t>.</w:t>
            </w:r>
          </w:p>
        </w:tc>
      </w:tr>
      <w:tr w:rsidR="007F1C7A" w14:paraId="4C2C54E3" w14:textId="77777777" w:rsidTr="00681E52">
        <w:tc>
          <w:tcPr>
            <w:tcW w:w="768" w:type="dxa"/>
            <w:vAlign w:val="center"/>
          </w:tcPr>
          <w:p w14:paraId="3C471B28" w14:textId="77777777" w:rsidR="007F1C7A" w:rsidRDefault="007F1C7A" w:rsidP="00971FA8">
            <w:pPr>
              <w:pStyle w:val="Akapitzlist"/>
              <w:numPr>
                <w:ilvl w:val="0"/>
                <w:numId w:val="1"/>
              </w:numPr>
            </w:pPr>
          </w:p>
        </w:tc>
        <w:tc>
          <w:tcPr>
            <w:tcW w:w="2200" w:type="dxa"/>
          </w:tcPr>
          <w:p w14:paraId="0EE9A74C" w14:textId="77777777" w:rsidR="007F1C7A" w:rsidRDefault="007F1C7A" w:rsidP="00971FA8">
            <w:r>
              <w:t>Główny Urząd Statystyczny</w:t>
            </w:r>
          </w:p>
        </w:tc>
        <w:tc>
          <w:tcPr>
            <w:tcW w:w="2686" w:type="dxa"/>
          </w:tcPr>
          <w:p w14:paraId="34C3D950" w14:textId="77777777" w:rsidR="007F1C7A" w:rsidRDefault="007F1C7A" w:rsidP="00971FA8">
            <w:r>
              <w:t>s. 21</w:t>
            </w:r>
          </w:p>
        </w:tc>
        <w:tc>
          <w:tcPr>
            <w:tcW w:w="4737" w:type="dxa"/>
          </w:tcPr>
          <w:p w14:paraId="5874AF92" w14:textId="77777777" w:rsidR="007F1C7A" w:rsidRPr="00FF53CA" w:rsidRDefault="007F1C7A" w:rsidP="00971FA8">
            <w:r>
              <w:t xml:space="preserve">Do zdania </w:t>
            </w:r>
            <w:r w:rsidRPr="007F1C7A">
              <w:rPr>
                <w:i/>
              </w:rPr>
              <w:t>W 2021 r. aż 87% pierwotnie wykluczonych cyfrowo stanowiły osoby w wieku 55-74 lat, a dalsze 8% to osoby w wieku 45-54 lata.</w:t>
            </w:r>
            <w:r>
              <w:rPr>
                <w:i/>
              </w:rPr>
              <w:t xml:space="preserve">: </w:t>
            </w:r>
            <w:r w:rsidRPr="007F1C7A">
              <w:t>Mając na uwadze tę informację warto rozważyć, czy osoby starsze nie powinny stanowić odrębnej grupy docelowej, dla której w ramach Programu zostałyby wskazane dedykowane działania zapobiegające wykluczeniu cyfrowemu.</w:t>
            </w:r>
          </w:p>
        </w:tc>
        <w:tc>
          <w:tcPr>
            <w:tcW w:w="3638" w:type="dxa"/>
          </w:tcPr>
          <w:p w14:paraId="0F806842" w14:textId="3275A0E5" w:rsidR="007F1C7A" w:rsidRDefault="00D0326D" w:rsidP="00971FA8">
            <w:r w:rsidRPr="008657D1">
              <w:t>U</w:t>
            </w:r>
            <w:r w:rsidR="00D3747D">
              <w:t>waga u</w:t>
            </w:r>
            <w:r w:rsidRPr="008657D1">
              <w:t>w</w:t>
            </w:r>
            <w:r w:rsidR="008657D1">
              <w:t>zględnion</w:t>
            </w:r>
            <w:r w:rsidR="00D3747D">
              <w:t>a</w:t>
            </w:r>
            <w:r w:rsidR="008657D1">
              <w:t xml:space="preserve"> </w:t>
            </w:r>
            <w:r w:rsidRPr="008657D1">
              <w:t xml:space="preserve">częściowo. </w:t>
            </w:r>
            <w:r w:rsidR="001C6A71">
              <w:rPr>
                <w:rFonts w:ascii="Calibri" w:eastAsia="Calibri" w:hAnsi="Calibri" w:cs="Calibri"/>
                <w:bCs/>
              </w:rPr>
              <w:t>Seniorzy nie stanowią jednorodnej grupy.  Seniorzy, którzy są wykluczeni cyfrowo lub mają niskie kompetencje cyfrowe wchodzą w skład grupy</w:t>
            </w:r>
            <w:r w:rsidR="001C6A71" w:rsidRPr="007B72BD">
              <w:rPr>
                <w:rFonts w:ascii="Calibri" w:eastAsia="Calibri" w:hAnsi="Calibri" w:cs="Calibri"/>
                <w:bCs/>
              </w:rPr>
              <w:t xml:space="preserve"> „Osoby stawiające pierwsze kroki w świecie cyfrowym”</w:t>
            </w:r>
            <w:r w:rsidR="00304140">
              <w:rPr>
                <w:rFonts w:ascii="Calibri" w:eastAsia="Calibri" w:hAnsi="Calibri" w:cs="Calibri"/>
                <w:bCs/>
              </w:rPr>
              <w:t>(a</w:t>
            </w:r>
            <w:r w:rsidR="001C6A71">
              <w:rPr>
                <w:rFonts w:ascii="Calibri" w:eastAsia="Calibri" w:hAnsi="Calibri" w:cs="Calibri"/>
                <w:bCs/>
              </w:rPr>
              <w:t>by podkreślić obecność seniorów w tej grupie zmieniono nazwę grupy na „O</w:t>
            </w:r>
            <w:r w:rsidR="001C6A71" w:rsidRPr="00900223">
              <w:rPr>
                <w:rFonts w:ascii="Calibri" w:eastAsia="Calibri" w:hAnsi="Calibri" w:cs="Calibri"/>
                <w:bCs/>
              </w:rPr>
              <w:t>soby stawiające pierwsze kroki w świecie cyfrowym</w:t>
            </w:r>
            <w:r w:rsidR="001C6A71">
              <w:rPr>
                <w:rFonts w:ascii="Calibri" w:eastAsia="Calibri" w:hAnsi="Calibri" w:cs="Calibri"/>
                <w:bCs/>
              </w:rPr>
              <w:t>, w tym seniorzy”. Wśród 7 działań przyporządkowanych dla tej grupy 6 jest dedykowanych przede wszystkim seniorom)</w:t>
            </w:r>
            <w:r w:rsidR="001C6A71" w:rsidRPr="007B72BD">
              <w:rPr>
                <w:rFonts w:ascii="Calibri" w:eastAsia="Calibri" w:hAnsi="Calibri" w:cs="Calibri"/>
                <w:bCs/>
              </w:rPr>
              <w:t xml:space="preserve">, natomiast pozostali zaliczają się do </w:t>
            </w:r>
            <w:r w:rsidR="001C6A71">
              <w:rPr>
                <w:rFonts w:ascii="Calibri" w:eastAsia="Calibri" w:hAnsi="Calibri" w:cs="Calibri"/>
                <w:bCs/>
              </w:rPr>
              <w:t xml:space="preserve">kategorii </w:t>
            </w:r>
            <w:r w:rsidR="001C6A71" w:rsidRPr="007B72BD">
              <w:rPr>
                <w:rFonts w:ascii="Calibri" w:eastAsia="Calibri" w:hAnsi="Calibri" w:cs="Calibri"/>
                <w:bCs/>
              </w:rPr>
              <w:t>„Użytkowników technologii cyfrowych</w:t>
            </w:r>
            <w:r w:rsidR="001C6A71">
              <w:rPr>
                <w:rFonts w:ascii="Calibri" w:eastAsia="Calibri" w:hAnsi="Calibri" w:cs="Calibri"/>
                <w:bCs/>
              </w:rPr>
              <w:t>”.</w:t>
            </w:r>
          </w:p>
        </w:tc>
      </w:tr>
      <w:tr w:rsidR="005834FB" w14:paraId="7FBDE792" w14:textId="77777777" w:rsidTr="00681E52">
        <w:tc>
          <w:tcPr>
            <w:tcW w:w="768" w:type="dxa"/>
            <w:vAlign w:val="center"/>
          </w:tcPr>
          <w:p w14:paraId="5BC1690C" w14:textId="77777777" w:rsidR="005834FB" w:rsidRDefault="005834FB" w:rsidP="00971FA8">
            <w:pPr>
              <w:pStyle w:val="Akapitzlist"/>
              <w:numPr>
                <w:ilvl w:val="0"/>
                <w:numId w:val="1"/>
              </w:numPr>
            </w:pPr>
          </w:p>
        </w:tc>
        <w:tc>
          <w:tcPr>
            <w:tcW w:w="2200" w:type="dxa"/>
          </w:tcPr>
          <w:p w14:paraId="25E7D05F" w14:textId="77777777" w:rsidR="005834FB" w:rsidRDefault="00FF53CA" w:rsidP="00971FA8">
            <w:r>
              <w:t>Główny Urząd Statystyczny</w:t>
            </w:r>
          </w:p>
        </w:tc>
        <w:tc>
          <w:tcPr>
            <w:tcW w:w="2686" w:type="dxa"/>
          </w:tcPr>
          <w:p w14:paraId="49318C47" w14:textId="77777777" w:rsidR="005834FB" w:rsidRDefault="00FF53CA" w:rsidP="00971FA8">
            <w:r>
              <w:t>s. 21</w:t>
            </w:r>
          </w:p>
        </w:tc>
        <w:tc>
          <w:tcPr>
            <w:tcW w:w="4737" w:type="dxa"/>
          </w:tcPr>
          <w:p w14:paraId="0CDF4960" w14:textId="77777777" w:rsidR="00FF53CA" w:rsidRPr="0034532A" w:rsidRDefault="00FF53CA" w:rsidP="00971FA8">
            <w:pPr>
              <w:rPr>
                <w:i/>
              </w:rPr>
            </w:pPr>
            <w:r w:rsidRPr="0034532A">
              <w:t xml:space="preserve">Uwaga do </w:t>
            </w:r>
            <w:r w:rsidRPr="0034532A">
              <w:rPr>
                <w:i/>
              </w:rPr>
              <w:t>Kolejną grupę stanowią osoby niepełnosprawne z orzeczoną niepełnosprawnością, wśród których wskaźnik niekorzystających z sieci wyniósł 43% (w 2020 r. 47%). Ten sam odsetek wśród niepełnosprawnych wyniósł 26%:</w:t>
            </w:r>
          </w:p>
          <w:p w14:paraId="6D0EA996" w14:textId="77777777" w:rsidR="00FF53CA" w:rsidRDefault="00FF53CA" w:rsidP="00971FA8">
            <w:r w:rsidRPr="0034532A">
              <w:t>W badaniu osoby niepełnosprawne to osoby z orzeczoną niepełnosprawnością. Ten wskaźnik dotyczy osób z niepełnosprawnością korzystających z pomocy społecznej – tj. pobierających świadczenia pieniężne (np. zasiłek stały, okresowy) lub niepieniężne (np. pomoc rzeczowa, mieszkanie chronione).</w:t>
            </w:r>
          </w:p>
          <w:p w14:paraId="668CC4CB" w14:textId="77777777" w:rsidR="00FF53CA" w:rsidRDefault="00FF53CA" w:rsidP="00971FA8">
            <w:r>
              <w:t>27% a nie 26%</w:t>
            </w:r>
          </w:p>
          <w:p w14:paraId="41668FC4" w14:textId="77777777" w:rsidR="00FF53CA" w:rsidRDefault="00FF53CA" w:rsidP="00971FA8"/>
        </w:tc>
        <w:tc>
          <w:tcPr>
            <w:tcW w:w="3638" w:type="dxa"/>
          </w:tcPr>
          <w:p w14:paraId="16A61AE3" w14:textId="0E5720D4" w:rsidR="00C029B1" w:rsidRDefault="00C029B1" w:rsidP="00971FA8">
            <w:r>
              <w:lastRenderedPageBreak/>
              <w:t>U</w:t>
            </w:r>
            <w:r w:rsidR="00D3747D">
              <w:t xml:space="preserve">waga </w:t>
            </w:r>
            <w:r w:rsidR="00686752">
              <w:t>uwzględniona.</w:t>
            </w:r>
          </w:p>
          <w:p w14:paraId="7D623148" w14:textId="77777777" w:rsidR="00C029B1" w:rsidRDefault="00C029B1" w:rsidP="00971FA8"/>
          <w:p w14:paraId="3B09878D" w14:textId="77777777" w:rsidR="00C029B1" w:rsidRDefault="00C029B1" w:rsidP="00971FA8"/>
          <w:p w14:paraId="77A1F161" w14:textId="77777777" w:rsidR="00C029B1" w:rsidRDefault="00C029B1" w:rsidP="00971FA8"/>
          <w:p w14:paraId="1AB6092E" w14:textId="77777777" w:rsidR="00C029B1" w:rsidRDefault="00C029B1" w:rsidP="00971FA8"/>
          <w:p w14:paraId="548AF5C3" w14:textId="77777777" w:rsidR="0034532A" w:rsidRDefault="0034532A" w:rsidP="00971FA8"/>
          <w:p w14:paraId="720321B0" w14:textId="77777777" w:rsidR="0034532A" w:rsidRDefault="0034532A" w:rsidP="00971FA8"/>
          <w:p w14:paraId="7D3053B2" w14:textId="77777777" w:rsidR="00933C5B" w:rsidRDefault="00933C5B" w:rsidP="00971FA8"/>
          <w:p w14:paraId="4207D01F" w14:textId="77777777" w:rsidR="00933C5B" w:rsidRDefault="00933C5B" w:rsidP="00971FA8"/>
          <w:p w14:paraId="40C803DD" w14:textId="77777777" w:rsidR="00933C5B" w:rsidRDefault="00933C5B" w:rsidP="00971FA8"/>
          <w:p w14:paraId="5448FD84" w14:textId="77777777" w:rsidR="00933C5B" w:rsidRDefault="00933C5B" w:rsidP="00971FA8"/>
          <w:p w14:paraId="0F328EB1" w14:textId="77777777" w:rsidR="00C029B1" w:rsidRDefault="00C029B1" w:rsidP="00971FA8"/>
          <w:p w14:paraId="2198D8B2" w14:textId="77777777" w:rsidR="005834FB" w:rsidRDefault="005834FB" w:rsidP="00971FA8"/>
        </w:tc>
      </w:tr>
      <w:tr w:rsidR="00FF53CA" w14:paraId="3D569DE8" w14:textId="77777777" w:rsidTr="00681E52">
        <w:tc>
          <w:tcPr>
            <w:tcW w:w="768" w:type="dxa"/>
            <w:vAlign w:val="center"/>
          </w:tcPr>
          <w:p w14:paraId="3369D41C" w14:textId="77777777" w:rsidR="00FF53CA" w:rsidRDefault="00FF53CA" w:rsidP="00971FA8">
            <w:pPr>
              <w:pStyle w:val="Akapitzlist"/>
              <w:numPr>
                <w:ilvl w:val="0"/>
                <w:numId w:val="1"/>
              </w:numPr>
            </w:pPr>
          </w:p>
        </w:tc>
        <w:tc>
          <w:tcPr>
            <w:tcW w:w="2200" w:type="dxa"/>
          </w:tcPr>
          <w:p w14:paraId="7DFB0A9D" w14:textId="77777777" w:rsidR="00FF53CA" w:rsidRDefault="00FF53CA" w:rsidP="00971FA8">
            <w:r>
              <w:t>Główny Urząd Statystyczny</w:t>
            </w:r>
          </w:p>
        </w:tc>
        <w:tc>
          <w:tcPr>
            <w:tcW w:w="2686" w:type="dxa"/>
          </w:tcPr>
          <w:p w14:paraId="22D31E13" w14:textId="77777777" w:rsidR="00FF53CA" w:rsidRDefault="00FF53CA" w:rsidP="00971FA8">
            <w:r>
              <w:t>s. 22</w:t>
            </w:r>
          </w:p>
        </w:tc>
        <w:tc>
          <w:tcPr>
            <w:tcW w:w="4737" w:type="dxa"/>
          </w:tcPr>
          <w:p w14:paraId="18358E41" w14:textId="77777777" w:rsidR="00FF53CA" w:rsidRPr="0034532A" w:rsidRDefault="00FF53CA" w:rsidP="00971FA8">
            <w:r w:rsidRPr="0034532A">
              <w:t xml:space="preserve">Uwaga do </w:t>
            </w:r>
            <w:r w:rsidRPr="0034532A">
              <w:rPr>
                <w:i/>
              </w:rPr>
              <w:t>gdzie pierwotne wykluczenie cyfrowe na poziomie 36%-78% obserwujemy we wszystkich grupach wiekowych od 35 roku życia.</w:t>
            </w:r>
            <w:r w:rsidRPr="0034532A">
              <w:t>:</w:t>
            </w:r>
          </w:p>
          <w:p w14:paraId="599F14CD" w14:textId="77777777" w:rsidR="00FF53CA" w:rsidRDefault="00FF53CA" w:rsidP="00971FA8">
            <w:r w:rsidRPr="0034532A">
              <w:t>Dla grupy wiekowej 45-54 – 20%</w:t>
            </w:r>
          </w:p>
          <w:p w14:paraId="46EDD75C" w14:textId="77777777" w:rsidR="00FF53CA" w:rsidRDefault="00FF53CA" w:rsidP="00971FA8">
            <w:pPr>
              <w:rPr>
                <w:i/>
              </w:rPr>
            </w:pPr>
            <w:r>
              <w:t xml:space="preserve">Uwaga do </w:t>
            </w:r>
            <w:r w:rsidRPr="00FF53CA">
              <w:rPr>
                <w:i/>
              </w:rPr>
              <w:t>o najniższych miesięcznych dochodach ne</w:t>
            </w:r>
            <w:r>
              <w:rPr>
                <w:i/>
              </w:rPr>
              <w:t>tto (poniżej 3240 zł w 2021 r.):</w:t>
            </w:r>
          </w:p>
          <w:p w14:paraId="2D6BCAED" w14:textId="77777777" w:rsidR="00FF53CA" w:rsidRDefault="00FF53CA" w:rsidP="00971FA8">
            <w:r w:rsidRPr="00FF53CA">
              <w:t xml:space="preserve"> poniżej 2900 zł w 2020 r.</w:t>
            </w:r>
          </w:p>
        </w:tc>
        <w:tc>
          <w:tcPr>
            <w:tcW w:w="3638" w:type="dxa"/>
          </w:tcPr>
          <w:p w14:paraId="1B54AC28" w14:textId="3F930F80" w:rsidR="00C029B1" w:rsidRDefault="00304140" w:rsidP="00971FA8">
            <w:r>
              <w:t>U</w:t>
            </w:r>
            <w:r w:rsidR="00D3747D">
              <w:t>waga u</w:t>
            </w:r>
            <w:r>
              <w:t>względnion</w:t>
            </w:r>
            <w:r w:rsidR="00D3747D">
              <w:t>a</w:t>
            </w:r>
            <w:r w:rsidR="00686752">
              <w:t>.</w:t>
            </w:r>
          </w:p>
          <w:p w14:paraId="1A5D4E01" w14:textId="77777777" w:rsidR="00C029B1" w:rsidRDefault="00C029B1" w:rsidP="00971FA8"/>
          <w:p w14:paraId="08863D2E" w14:textId="77777777" w:rsidR="00C029B1" w:rsidRDefault="00C029B1" w:rsidP="00971FA8"/>
          <w:p w14:paraId="20E5C5C2" w14:textId="77777777" w:rsidR="00C029B1" w:rsidRDefault="00C029B1" w:rsidP="00971FA8"/>
          <w:p w14:paraId="29E07839" w14:textId="77777777" w:rsidR="00C029B1" w:rsidRDefault="00C029B1" w:rsidP="00971FA8"/>
          <w:p w14:paraId="2370E6E5" w14:textId="77777777" w:rsidR="00C029B1" w:rsidRDefault="00C029B1" w:rsidP="00971FA8"/>
        </w:tc>
      </w:tr>
      <w:tr w:rsidR="007F1C7A" w14:paraId="1571ED9E" w14:textId="77777777" w:rsidTr="00681E52">
        <w:tc>
          <w:tcPr>
            <w:tcW w:w="768" w:type="dxa"/>
            <w:vAlign w:val="center"/>
          </w:tcPr>
          <w:p w14:paraId="3EF4A865" w14:textId="77777777" w:rsidR="007F1C7A" w:rsidRDefault="007F1C7A" w:rsidP="00971FA8">
            <w:pPr>
              <w:pStyle w:val="Akapitzlist"/>
              <w:numPr>
                <w:ilvl w:val="0"/>
                <w:numId w:val="1"/>
              </w:numPr>
            </w:pPr>
          </w:p>
        </w:tc>
        <w:tc>
          <w:tcPr>
            <w:tcW w:w="2200" w:type="dxa"/>
          </w:tcPr>
          <w:p w14:paraId="4AECFFBC" w14:textId="77777777" w:rsidR="007F1C7A" w:rsidRDefault="007F1C7A" w:rsidP="00971FA8">
            <w:r>
              <w:t>Główny Urząd Statystyczny</w:t>
            </w:r>
          </w:p>
        </w:tc>
        <w:tc>
          <w:tcPr>
            <w:tcW w:w="2686" w:type="dxa"/>
          </w:tcPr>
          <w:p w14:paraId="011BAF5C" w14:textId="77777777" w:rsidR="007F1C7A" w:rsidRDefault="007F1C7A" w:rsidP="00971FA8">
            <w:r>
              <w:t>s. 24</w:t>
            </w:r>
          </w:p>
        </w:tc>
        <w:tc>
          <w:tcPr>
            <w:tcW w:w="4737" w:type="dxa"/>
          </w:tcPr>
          <w:p w14:paraId="1E230AA8" w14:textId="77777777" w:rsidR="007F1C7A" w:rsidRPr="007F1C7A" w:rsidRDefault="007F1C7A" w:rsidP="00971FA8">
            <w:r>
              <w:t xml:space="preserve">Do zdania </w:t>
            </w:r>
            <w:r w:rsidRPr="007F1C7A">
              <w:rPr>
                <w:i/>
              </w:rPr>
              <w:t xml:space="preserve">Potencjalni rodzice, czyli osoby w wieku 25-44 lata w Polscy rzadziej dysponują umiejętnościami cyfrowymi niż średnio ich </w:t>
            </w:r>
            <w:proofErr w:type="spellStart"/>
            <w:r w:rsidRPr="007F1C7A">
              <w:rPr>
                <w:i/>
              </w:rPr>
              <w:t>odpowiednicy</w:t>
            </w:r>
            <w:proofErr w:type="spellEnd"/>
            <w:r w:rsidRPr="007F1C7A">
              <w:rPr>
                <w:i/>
              </w:rPr>
              <w:t xml:space="preserve"> w państwach UE – różnica sięgała 10 </w:t>
            </w:r>
            <w:proofErr w:type="spellStart"/>
            <w:r w:rsidRPr="007F1C7A">
              <w:rPr>
                <w:i/>
              </w:rPr>
              <w:t>p.p</w:t>
            </w:r>
            <w:proofErr w:type="spellEnd"/>
            <w:r w:rsidRPr="007F1C7A">
              <w:rPr>
                <w:i/>
              </w:rPr>
              <w:t>. w 2019 r.</w:t>
            </w:r>
            <w:r>
              <w:rPr>
                <w:i/>
              </w:rPr>
              <w:t xml:space="preserve">: </w:t>
            </w:r>
            <w:r w:rsidRPr="007F1C7A">
              <w:t>Powinno być ”w Polsce”</w:t>
            </w:r>
          </w:p>
        </w:tc>
        <w:tc>
          <w:tcPr>
            <w:tcW w:w="3638" w:type="dxa"/>
          </w:tcPr>
          <w:p w14:paraId="415C8548" w14:textId="07C67AF8" w:rsidR="007F1C7A" w:rsidRDefault="008657D1" w:rsidP="00971FA8">
            <w:r>
              <w:t>U</w:t>
            </w:r>
            <w:r w:rsidR="00D3747D">
              <w:t>waga u</w:t>
            </w:r>
            <w:r>
              <w:t>względnion</w:t>
            </w:r>
            <w:r w:rsidR="00D3747D">
              <w:t>a</w:t>
            </w:r>
            <w:r w:rsidR="00686752">
              <w:t>.</w:t>
            </w:r>
          </w:p>
        </w:tc>
      </w:tr>
      <w:tr w:rsidR="00D67F01" w14:paraId="39664E7A" w14:textId="77777777" w:rsidTr="00681E52">
        <w:tc>
          <w:tcPr>
            <w:tcW w:w="768" w:type="dxa"/>
            <w:vAlign w:val="center"/>
          </w:tcPr>
          <w:p w14:paraId="4EB58916" w14:textId="77777777" w:rsidR="00D67F01" w:rsidRDefault="00D67F01" w:rsidP="00971FA8">
            <w:pPr>
              <w:pStyle w:val="Akapitzlist"/>
              <w:numPr>
                <w:ilvl w:val="0"/>
                <w:numId w:val="1"/>
              </w:numPr>
            </w:pPr>
          </w:p>
        </w:tc>
        <w:tc>
          <w:tcPr>
            <w:tcW w:w="2200" w:type="dxa"/>
          </w:tcPr>
          <w:p w14:paraId="2558DDCC" w14:textId="77777777" w:rsidR="00D67F01" w:rsidRDefault="00D67F01" w:rsidP="00971FA8">
            <w:r>
              <w:t>Główny Urząd Statystyczny</w:t>
            </w:r>
          </w:p>
        </w:tc>
        <w:tc>
          <w:tcPr>
            <w:tcW w:w="2686" w:type="dxa"/>
          </w:tcPr>
          <w:p w14:paraId="5D41958D" w14:textId="77777777" w:rsidR="00D67F01" w:rsidRDefault="00D67F01" w:rsidP="00971FA8">
            <w:r>
              <w:t>W całym dokumencie</w:t>
            </w:r>
          </w:p>
        </w:tc>
        <w:tc>
          <w:tcPr>
            <w:tcW w:w="4737" w:type="dxa"/>
          </w:tcPr>
          <w:p w14:paraId="38133623" w14:textId="77777777" w:rsidR="00D67F01" w:rsidRDefault="00D67F01" w:rsidP="00971FA8">
            <w:r>
              <w:t xml:space="preserve">EU27 zastąpić UE27 </w:t>
            </w:r>
          </w:p>
          <w:p w14:paraId="5410B67A" w14:textId="77777777" w:rsidR="00D67F01" w:rsidRDefault="00D67F01" w:rsidP="00971FA8">
            <w:r>
              <w:t>EU28 zastąpić UE28</w:t>
            </w:r>
          </w:p>
        </w:tc>
        <w:tc>
          <w:tcPr>
            <w:tcW w:w="3638" w:type="dxa"/>
          </w:tcPr>
          <w:p w14:paraId="20355764" w14:textId="64682AEC" w:rsidR="00D67F01" w:rsidRPr="00C65610" w:rsidRDefault="008657D1" w:rsidP="00971FA8">
            <w:pPr>
              <w:rPr>
                <w:color w:val="FF0000"/>
              </w:rPr>
            </w:pPr>
            <w:r>
              <w:t>U</w:t>
            </w:r>
            <w:r w:rsidR="00D3747D">
              <w:t>waga u</w:t>
            </w:r>
            <w:r>
              <w:t>względnion</w:t>
            </w:r>
            <w:r w:rsidR="00D3747D">
              <w:t>a</w:t>
            </w:r>
            <w:r w:rsidR="00686752">
              <w:t>.</w:t>
            </w:r>
          </w:p>
        </w:tc>
      </w:tr>
      <w:tr w:rsidR="005834FB" w14:paraId="77967E01" w14:textId="77777777" w:rsidTr="00681E52">
        <w:tc>
          <w:tcPr>
            <w:tcW w:w="768" w:type="dxa"/>
            <w:vAlign w:val="center"/>
          </w:tcPr>
          <w:p w14:paraId="24DD6C2C" w14:textId="77777777" w:rsidR="005834FB" w:rsidRDefault="005834FB" w:rsidP="00971FA8">
            <w:pPr>
              <w:pStyle w:val="Akapitzlist"/>
              <w:numPr>
                <w:ilvl w:val="0"/>
                <w:numId w:val="1"/>
              </w:numPr>
            </w:pPr>
          </w:p>
        </w:tc>
        <w:tc>
          <w:tcPr>
            <w:tcW w:w="2200" w:type="dxa"/>
          </w:tcPr>
          <w:p w14:paraId="5D8BA342" w14:textId="77777777" w:rsidR="005834FB" w:rsidRDefault="00FF53CA" w:rsidP="00971FA8">
            <w:r>
              <w:t>Główny Urząd Statystyczny</w:t>
            </w:r>
          </w:p>
        </w:tc>
        <w:tc>
          <w:tcPr>
            <w:tcW w:w="2686" w:type="dxa"/>
          </w:tcPr>
          <w:p w14:paraId="5102FB8F" w14:textId="77777777" w:rsidR="005834FB" w:rsidRDefault="00FF53CA" w:rsidP="00971FA8">
            <w:r>
              <w:t>5.6. pracownicy</w:t>
            </w:r>
          </w:p>
        </w:tc>
        <w:tc>
          <w:tcPr>
            <w:tcW w:w="4737" w:type="dxa"/>
          </w:tcPr>
          <w:p w14:paraId="7A797BF4" w14:textId="77777777" w:rsidR="00FF53CA" w:rsidRPr="00FF53CA" w:rsidRDefault="00FF53CA" w:rsidP="00971FA8">
            <w:r>
              <w:t xml:space="preserve">Uwaga do </w:t>
            </w:r>
            <w:r w:rsidRPr="00FF53CA">
              <w:rPr>
                <w:i/>
              </w:rPr>
              <w:t>W obszarze umiejętności informacyjnych różnica pomiędzy polskimi pracownikami umysłowymi a średnią EU 28 wynosi 2%</w:t>
            </w:r>
            <w:r>
              <w:rPr>
                <w:i/>
              </w:rPr>
              <w:t xml:space="preserve">: </w:t>
            </w:r>
            <w:r w:rsidRPr="00FF53CA">
              <w:t xml:space="preserve">UE28 wynosi 2 </w:t>
            </w:r>
            <w:proofErr w:type="spellStart"/>
            <w:r w:rsidRPr="00FF53CA">
              <w:t>p.p</w:t>
            </w:r>
            <w:proofErr w:type="spellEnd"/>
            <w:r w:rsidRPr="00FF53CA">
              <w:t>.</w:t>
            </w:r>
          </w:p>
        </w:tc>
        <w:tc>
          <w:tcPr>
            <w:tcW w:w="3638" w:type="dxa"/>
          </w:tcPr>
          <w:p w14:paraId="21954C22" w14:textId="0B438DBC" w:rsidR="005834FB" w:rsidRDefault="00D04FD7" w:rsidP="00971FA8">
            <w:r>
              <w:t>U</w:t>
            </w:r>
            <w:r w:rsidR="00D3747D">
              <w:t>waga u</w:t>
            </w:r>
            <w:r>
              <w:t>względnion</w:t>
            </w:r>
            <w:r w:rsidR="00D3747D">
              <w:t>a</w:t>
            </w:r>
            <w:r w:rsidR="00686752">
              <w:t>.</w:t>
            </w:r>
          </w:p>
        </w:tc>
      </w:tr>
      <w:tr w:rsidR="00FF53CA" w14:paraId="4C4353E8" w14:textId="77777777" w:rsidTr="00681E52">
        <w:tc>
          <w:tcPr>
            <w:tcW w:w="768" w:type="dxa"/>
            <w:vAlign w:val="center"/>
          </w:tcPr>
          <w:p w14:paraId="636CDB68" w14:textId="77777777" w:rsidR="00FF53CA" w:rsidRDefault="00FF53CA" w:rsidP="00971FA8">
            <w:pPr>
              <w:pStyle w:val="Akapitzlist"/>
              <w:numPr>
                <w:ilvl w:val="0"/>
                <w:numId w:val="1"/>
              </w:numPr>
            </w:pPr>
          </w:p>
        </w:tc>
        <w:tc>
          <w:tcPr>
            <w:tcW w:w="2200" w:type="dxa"/>
          </w:tcPr>
          <w:p w14:paraId="622A061D" w14:textId="77777777" w:rsidR="00FF53CA" w:rsidRDefault="00FF53CA" w:rsidP="00971FA8">
            <w:r>
              <w:t>Główny Urząd Statystyczny</w:t>
            </w:r>
          </w:p>
        </w:tc>
        <w:tc>
          <w:tcPr>
            <w:tcW w:w="2686" w:type="dxa"/>
          </w:tcPr>
          <w:p w14:paraId="01395E81" w14:textId="77777777" w:rsidR="00FF53CA" w:rsidRDefault="00FF53CA" w:rsidP="00971FA8">
            <w:r>
              <w:t>s. 30</w:t>
            </w:r>
          </w:p>
        </w:tc>
        <w:tc>
          <w:tcPr>
            <w:tcW w:w="4737" w:type="dxa"/>
          </w:tcPr>
          <w:p w14:paraId="10EB37C8" w14:textId="77777777" w:rsidR="00FF53CA" w:rsidRDefault="00FF53CA" w:rsidP="00971FA8">
            <w:r w:rsidRPr="00FF53CA">
              <w:rPr>
                <w:i/>
              </w:rPr>
              <w:t xml:space="preserve">różnice wahają się od 6-12 </w:t>
            </w:r>
            <w:proofErr w:type="spellStart"/>
            <w:r w:rsidRPr="00FF53CA">
              <w:rPr>
                <w:i/>
              </w:rPr>
              <w:t>p.p</w:t>
            </w:r>
            <w:proofErr w:type="spellEnd"/>
            <w:r w:rsidRPr="00FF53CA">
              <w:rPr>
                <w:i/>
              </w:rPr>
              <w:t>.</w:t>
            </w:r>
            <w:r w:rsidRPr="00FF53CA">
              <w:t xml:space="preserve">  </w:t>
            </w:r>
            <w:r>
              <w:t xml:space="preserve">zastąpić </w:t>
            </w:r>
            <w:r w:rsidRPr="00FF53CA">
              <w:rPr>
                <w:i/>
              </w:rPr>
              <w:t xml:space="preserve">od 6 do 12 </w:t>
            </w:r>
            <w:proofErr w:type="spellStart"/>
            <w:r w:rsidRPr="00FF53CA">
              <w:rPr>
                <w:i/>
              </w:rPr>
              <w:t>p.p</w:t>
            </w:r>
            <w:proofErr w:type="spellEnd"/>
            <w:r w:rsidRPr="00FF53CA">
              <w:rPr>
                <w:i/>
              </w:rPr>
              <w:t>.</w:t>
            </w:r>
          </w:p>
        </w:tc>
        <w:tc>
          <w:tcPr>
            <w:tcW w:w="3638" w:type="dxa"/>
          </w:tcPr>
          <w:p w14:paraId="2AC7C0FC" w14:textId="28A4AB0B" w:rsidR="00FF53CA" w:rsidRDefault="00D04FD7" w:rsidP="00971FA8">
            <w:r>
              <w:t>U</w:t>
            </w:r>
            <w:r w:rsidR="00D3747D">
              <w:t xml:space="preserve">waga </w:t>
            </w:r>
            <w:r w:rsidR="00686752">
              <w:t>uwzględniona.</w:t>
            </w:r>
          </w:p>
        </w:tc>
      </w:tr>
      <w:tr w:rsidR="007F1C7A" w14:paraId="6DA537B0" w14:textId="77777777" w:rsidTr="00681E52">
        <w:tc>
          <w:tcPr>
            <w:tcW w:w="768" w:type="dxa"/>
            <w:vAlign w:val="center"/>
          </w:tcPr>
          <w:p w14:paraId="4DF6D0FF" w14:textId="77777777" w:rsidR="007F1C7A" w:rsidRDefault="007F1C7A" w:rsidP="00971FA8">
            <w:pPr>
              <w:pStyle w:val="Akapitzlist"/>
              <w:numPr>
                <w:ilvl w:val="0"/>
                <w:numId w:val="1"/>
              </w:numPr>
            </w:pPr>
          </w:p>
        </w:tc>
        <w:tc>
          <w:tcPr>
            <w:tcW w:w="2200" w:type="dxa"/>
          </w:tcPr>
          <w:p w14:paraId="10BCA367" w14:textId="77777777" w:rsidR="007F1C7A" w:rsidRDefault="007F1C7A" w:rsidP="00971FA8">
            <w:r>
              <w:t>Główny Urząd Statystyczny</w:t>
            </w:r>
          </w:p>
        </w:tc>
        <w:tc>
          <w:tcPr>
            <w:tcW w:w="2686" w:type="dxa"/>
          </w:tcPr>
          <w:p w14:paraId="2FD554F3" w14:textId="77777777" w:rsidR="007F1C7A" w:rsidRDefault="007F1C7A" w:rsidP="00971FA8">
            <w:r>
              <w:t>s. 35</w:t>
            </w:r>
          </w:p>
        </w:tc>
        <w:tc>
          <w:tcPr>
            <w:tcW w:w="4737" w:type="dxa"/>
          </w:tcPr>
          <w:p w14:paraId="2628C067" w14:textId="77777777" w:rsidR="007F1C7A" w:rsidRPr="007F1C7A" w:rsidRDefault="007F1C7A" w:rsidP="00971FA8">
            <w:r w:rsidRPr="007F1C7A">
              <w:t>W zdaniu</w:t>
            </w:r>
            <w:r>
              <w:rPr>
                <w:i/>
              </w:rPr>
              <w:t xml:space="preserve"> </w:t>
            </w:r>
            <w:r w:rsidRPr="007F1C7A">
              <w:rPr>
                <w:i/>
              </w:rPr>
              <w:t>To na niech opiera się rozwój technologii cyfrowych oraz cyfryzacja we wszystkich dziedzinach gospodarki i sektora publicznego.</w:t>
            </w:r>
            <w:r>
              <w:rPr>
                <w:i/>
              </w:rPr>
              <w:t xml:space="preserve">: </w:t>
            </w:r>
            <w:r>
              <w:t>powinno być „na nich”</w:t>
            </w:r>
          </w:p>
        </w:tc>
        <w:tc>
          <w:tcPr>
            <w:tcW w:w="3638" w:type="dxa"/>
          </w:tcPr>
          <w:p w14:paraId="0469E5E5" w14:textId="7807F7EF" w:rsidR="007F1C7A" w:rsidRDefault="00D04FD7" w:rsidP="00971FA8">
            <w:r>
              <w:t>U</w:t>
            </w:r>
            <w:r w:rsidR="00D3747D">
              <w:t xml:space="preserve">waga </w:t>
            </w:r>
            <w:r w:rsidR="00686752">
              <w:t>uwzględniona.</w:t>
            </w:r>
          </w:p>
        </w:tc>
      </w:tr>
      <w:tr w:rsidR="00FF53CA" w14:paraId="4784A1B0" w14:textId="77777777" w:rsidTr="00681E52">
        <w:tc>
          <w:tcPr>
            <w:tcW w:w="768" w:type="dxa"/>
            <w:vAlign w:val="center"/>
          </w:tcPr>
          <w:p w14:paraId="76564F4C" w14:textId="77777777" w:rsidR="00FF53CA" w:rsidRDefault="00FF53CA" w:rsidP="00971FA8">
            <w:pPr>
              <w:pStyle w:val="Akapitzlist"/>
              <w:numPr>
                <w:ilvl w:val="0"/>
                <w:numId w:val="1"/>
              </w:numPr>
            </w:pPr>
          </w:p>
        </w:tc>
        <w:tc>
          <w:tcPr>
            <w:tcW w:w="2200" w:type="dxa"/>
          </w:tcPr>
          <w:p w14:paraId="682D1A42" w14:textId="77777777" w:rsidR="00FF53CA" w:rsidRDefault="00FF53CA" w:rsidP="00971FA8">
            <w:r>
              <w:t>Główny Urząd Statystyczny</w:t>
            </w:r>
          </w:p>
        </w:tc>
        <w:tc>
          <w:tcPr>
            <w:tcW w:w="2686" w:type="dxa"/>
          </w:tcPr>
          <w:p w14:paraId="2555355D" w14:textId="77777777" w:rsidR="00FF53CA" w:rsidRDefault="00FF53CA" w:rsidP="00971FA8">
            <w:r>
              <w:t>Wykres 16, s. 35</w:t>
            </w:r>
          </w:p>
        </w:tc>
        <w:tc>
          <w:tcPr>
            <w:tcW w:w="4737" w:type="dxa"/>
          </w:tcPr>
          <w:p w14:paraId="50ECED07" w14:textId="77777777" w:rsidR="00FF53CA" w:rsidRDefault="00FF53CA" w:rsidP="00971FA8">
            <w:r w:rsidRPr="00FF53CA">
              <w:t>Ten wykres jest nieprawidłowy. Po pierwsze dane dotyczą roku 2019. Po drugie niektóre wartości są nieprawidłowe. Powinno być kolejno (patrząc od góry): 1,5; 0,8; 12,0; 7,6; 2,8; 1,3; 0,8; 0,5</w:t>
            </w:r>
          </w:p>
        </w:tc>
        <w:tc>
          <w:tcPr>
            <w:tcW w:w="3638" w:type="dxa"/>
          </w:tcPr>
          <w:p w14:paraId="2C4E00E2" w14:textId="1CC45490" w:rsidR="00FF53CA" w:rsidRPr="00A722CB" w:rsidRDefault="00FF12B4" w:rsidP="00971FA8">
            <w:pPr>
              <w:rPr>
                <w:color w:val="FF0000"/>
              </w:rPr>
            </w:pPr>
            <w:r w:rsidRPr="00FF12B4">
              <w:t>U</w:t>
            </w:r>
            <w:r w:rsidR="00D3747D">
              <w:t>waga u</w:t>
            </w:r>
            <w:r w:rsidRPr="00FF12B4">
              <w:t>względnion</w:t>
            </w:r>
            <w:r w:rsidR="00D3747D">
              <w:t>a</w:t>
            </w:r>
            <w:r w:rsidR="00304140">
              <w:t>.</w:t>
            </w:r>
          </w:p>
        </w:tc>
      </w:tr>
      <w:tr w:rsidR="007F1C7A" w14:paraId="3CA82AAB" w14:textId="77777777" w:rsidTr="00681E52">
        <w:tc>
          <w:tcPr>
            <w:tcW w:w="768" w:type="dxa"/>
            <w:vAlign w:val="center"/>
          </w:tcPr>
          <w:p w14:paraId="463BB0A2" w14:textId="77777777" w:rsidR="007F1C7A" w:rsidRDefault="007F1C7A" w:rsidP="00971FA8">
            <w:pPr>
              <w:pStyle w:val="Akapitzlist"/>
              <w:numPr>
                <w:ilvl w:val="0"/>
                <w:numId w:val="1"/>
              </w:numPr>
            </w:pPr>
          </w:p>
        </w:tc>
        <w:tc>
          <w:tcPr>
            <w:tcW w:w="2200" w:type="dxa"/>
          </w:tcPr>
          <w:p w14:paraId="7AF40C91" w14:textId="77777777" w:rsidR="007F1C7A" w:rsidRDefault="007F1C7A" w:rsidP="00971FA8">
            <w:r>
              <w:t>Główny Urząd Statystyczny</w:t>
            </w:r>
          </w:p>
        </w:tc>
        <w:tc>
          <w:tcPr>
            <w:tcW w:w="2686" w:type="dxa"/>
          </w:tcPr>
          <w:p w14:paraId="7F930F15" w14:textId="77777777" w:rsidR="007F1C7A" w:rsidRDefault="007F1C7A" w:rsidP="00971FA8">
            <w:r>
              <w:t>s. 43</w:t>
            </w:r>
          </w:p>
        </w:tc>
        <w:tc>
          <w:tcPr>
            <w:tcW w:w="4737" w:type="dxa"/>
          </w:tcPr>
          <w:p w14:paraId="47B694EF" w14:textId="77777777" w:rsidR="007F1C7A" w:rsidRPr="00FF53CA" w:rsidRDefault="007F1C7A" w:rsidP="00971FA8">
            <w:r>
              <w:t xml:space="preserve">W zdaniu </w:t>
            </w:r>
            <w:r w:rsidRPr="007F1C7A">
              <w:t>•</w:t>
            </w:r>
            <w:r w:rsidRPr="007F1C7A">
              <w:rPr>
                <w:i/>
              </w:rPr>
              <w:tab/>
              <w:t xml:space="preserve">ograniczenia wynikające z potencjał niektórych regionów w zakresie „produkcji” dóbr i usług ICT, zbyt niskie zarobki, co motywuje mieszkańców do podejmowania pracy </w:t>
            </w:r>
            <w:r w:rsidRPr="007F1C7A">
              <w:rPr>
                <w:i/>
              </w:rPr>
              <w:lastRenderedPageBreak/>
              <w:t>w ościennych województwach.</w:t>
            </w:r>
            <w:r>
              <w:rPr>
                <w:i/>
              </w:rPr>
              <w:t xml:space="preserve">: </w:t>
            </w:r>
            <w:r w:rsidRPr="007F1C7A">
              <w:t>powinno być „potencjału”</w:t>
            </w:r>
          </w:p>
        </w:tc>
        <w:tc>
          <w:tcPr>
            <w:tcW w:w="3638" w:type="dxa"/>
          </w:tcPr>
          <w:p w14:paraId="427C7BDA" w14:textId="64BF7DDD" w:rsidR="007F1C7A" w:rsidRPr="00943AAC" w:rsidRDefault="00FB6764" w:rsidP="00971FA8">
            <w:r w:rsidRPr="00943AAC">
              <w:lastRenderedPageBreak/>
              <w:t>U</w:t>
            </w:r>
            <w:r w:rsidR="00D3747D">
              <w:t>waga u</w:t>
            </w:r>
            <w:r w:rsidRPr="00943AAC">
              <w:t>względnion</w:t>
            </w:r>
            <w:r w:rsidR="00D3747D">
              <w:t>a</w:t>
            </w:r>
            <w:r w:rsidR="00686752">
              <w:t>.</w:t>
            </w:r>
          </w:p>
        </w:tc>
      </w:tr>
      <w:tr w:rsidR="007F1C7A" w14:paraId="36C64B3F" w14:textId="77777777" w:rsidTr="00681E52">
        <w:tc>
          <w:tcPr>
            <w:tcW w:w="768" w:type="dxa"/>
            <w:vAlign w:val="center"/>
          </w:tcPr>
          <w:p w14:paraId="1A79BF1C" w14:textId="77777777" w:rsidR="007F1C7A" w:rsidRDefault="007F1C7A" w:rsidP="00971FA8">
            <w:pPr>
              <w:pStyle w:val="Akapitzlist"/>
              <w:numPr>
                <w:ilvl w:val="0"/>
                <w:numId w:val="1"/>
              </w:numPr>
            </w:pPr>
          </w:p>
        </w:tc>
        <w:tc>
          <w:tcPr>
            <w:tcW w:w="2200" w:type="dxa"/>
          </w:tcPr>
          <w:p w14:paraId="4BA5589B" w14:textId="77777777" w:rsidR="007F1C7A" w:rsidRDefault="007F1C7A" w:rsidP="00971FA8">
            <w:r>
              <w:t>Główny Urząd Statystyczny</w:t>
            </w:r>
          </w:p>
        </w:tc>
        <w:tc>
          <w:tcPr>
            <w:tcW w:w="2686" w:type="dxa"/>
          </w:tcPr>
          <w:p w14:paraId="21451E6F" w14:textId="77777777" w:rsidR="007F1C7A" w:rsidRDefault="007F1C7A" w:rsidP="00971FA8">
            <w:r>
              <w:t>s. 44</w:t>
            </w:r>
          </w:p>
        </w:tc>
        <w:tc>
          <w:tcPr>
            <w:tcW w:w="4737" w:type="dxa"/>
          </w:tcPr>
          <w:p w14:paraId="73AD3FEB" w14:textId="77777777" w:rsidR="007F1C7A" w:rsidRPr="007F1C7A" w:rsidRDefault="007F1C7A" w:rsidP="00971FA8">
            <w:r>
              <w:t xml:space="preserve">Uwaga do części </w:t>
            </w:r>
            <w:r w:rsidRPr="007F1C7A">
              <w:rPr>
                <w:i/>
              </w:rPr>
              <w:t>Dotychczasowe osiągnięcia Polski w obszarze kompetencji cyfrowych</w:t>
            </w:r>
            <w:r>
              <w:rPr>
                <w:i/>
              </w:rPr>
              <w:t xml:space="preserve">: </w:t>
            </w:r>
            <w:r w:rsidRPr="007F1C7A">
              <w:t xml:space="preserve">Uważamy, że warto byłoby w tym rozdziale ująć sukcesy statystyki publicznej w zakresie wdrażania usług cyfrowych dotyczących sprawozdawczości elektronicznej przedsiębiorstw. Portal Sprawozdawczy został wdrożony już w roku 2007 (około dwa lata wcześniej udostępniono sprawozdawcom tzw. Moduł Sprawozdawczości Elektronicznej, obejmujący pojedyncze sprawozdania z obszaru statystyki gospodarczej m. in. DG-1 oraz F-01/I-01). </w:t>
            </w:r>
          </w:p>
          <w:p w14:paraId="587A1208" w14:textId="77777777" w:rsidR="007F1C7A" w:rsidRPr="007F1C7A" w:rsidRDefault="007F1C7A" w:rsidP="00971FA8"/>
          <w:p w14:paraId="5E1299E4" w14:textId="77777777" w:rsidR="007F1C7A" w:rsidRDefault="007F1C7A" w:rsidP="00971FA8">
            <w:r w:rsidRPr="007F1C7A">
              <w:t>Wdrożenie sprawozdawczości elektronicznej było wówczas działaniem wysoce innowacyjnym i prekursorskim nie tylko w skali kraju (większość urzędów nie zapewniała jeszcze wtedy obsługi klientów w formie usług cyfrowych), ale także światowym (wiele krajów UE nie posiadało jeszcze takich rozwiązań, swoimi doświadczeniami z wdrażania sprawozdawczości elektronicznej dzieliliśmy się także m. in. z ekspertem z Australii).</w:t>
            </w:r>
          </w:p>
        </w:tc>
        <w:tc>
          <w:tcPr>
            <w:tcW w:w="3638" w:type="dxa"/>
          </w:tcPr>
          <w:p w14:paraId="1C54396D" w14:textId="77777777" w:rsidR="00D3747D" w:rsidRDefault="00D3747D" w:rsidP="00474912">
            <w:r>
              <w:t>Uwaga nie</w:t>
            </w:r>
            <w:r w:rsidR="00943AAC" w:rsidRPr="00943AAC">
              <w:t>uwzględnion</w:t>
            </w:r>
            <w:r>
              <w:t>a.</w:t>
            </w:r>
          </w:p>
          <w:p w14:paraId="0AA6A9A1" w14:textId="71FD4530" w:rsidR="007F1C7A" w:rsidRPr="00943AAC" w:rsidRDefault="00943AAC" w:rsidP="00474912">
            <w:r>
              <w:t>Przedmiotem PRKC są kompetencje cyfrowe, a nie sukcesy statystyki polskiej</w:t>
            </w:r>
            <w:r w:rsidR="00474912">
              <w:t>.</w:t>
            </w:r>
          </w:p>
        </w:tc>
      </w:tr>
      <w:tr w:rsidR="007F1C7A" w14:paraId="52DDBE42" w14:textId="77777777" w:rsidTr="00681E52">
        <w:tc>
          <w:tcPr>
            <w:tcW w:w="768" w:type="dxa"/>
            <w:vAlign w:val="center"/>
          </w:tcPr>
          <w:p w14:paraId="70418DD8" w14:textId="77777777" w:rsidR="007F1C7A" w:rsidRDefault="007F1C7A" w:rsidP="00971FA8">
            <w:pPr>
              <w:pStyle w:val="Akapitzlist"/>
              <w:numPr>
                <w:ilvl w:val="0"/>
                <w:numId w:val="1"/>
              </w:numPr>
            </w:pPr>
          </w:p>
        </w:tc>
        <w:tc>
          <w:tcPr>
            <w:tcW w:w="2200" w:type="dxa"/>
          </w:tcPr>
          <w:p w14:paraId="1DEB8F22" w14:textId="77777777" w:rsidR="007F1C7A" w:rsidRDefault="007F1C7A" w:rsidP="00971FA8">
            <w:r>
              <w:t>Główny Urząd Statystyczny</w:t>
            </w:r>
          </w:p>
        </w:tc>
        <w:tc>
          <w:tcPr>
            <w:tcW w:w="2686" w:type="dxa"/>
          </w:tcPr>
          <w:p w14:paraId="70DEC1F9" w14:textId="77777777" w:rsidR="007F1C7A" w:rsidRDefault="007F1C7A" w:rsidP="00971FA8">
            <w:r>
              <w:t>s. 44</w:t>
            </w:r>
          </w:p>
        </w:tc>
        <w:tc>
          <w:tcPr>
            <w:tcW w:w="4737" w:type="dxa"/>
          </w:tcPr>
          <w:p w14:paraId="2CC45742" w14:textId="77777777" w:rsidR="007F1C7A" w:rsidRDefault="007F1C7A" w:rsidP="00971FA8">
            <w:r>
              <w:t xml:space="preserve">Do zdania </w:t>
            </w:r>
            <w:r w:rsidRPr="007F1C7A">
              <w:rPr>
                <w:i/>
              </w:rPr>
              <w:t>Warto wymienić tu projekty finansowane w ramach III osi priorytetowej Programu Operacyjnego Polska Cyfrowa, która jest dedykowania podnoszeniu umiejętności cyfrowych oraz Programu Operacyjnego Wiedza Edukacja Rozwój i Regionalnych Programów Operacyjnych.:</w:t>
            </w:r>
            <w:r>
              <w:t xml:space="preserve"> </w:t>
            </w:r>
            <w:r w:rsidRPr="007F1C7A">
              <w:t>Powinno być ”dedykowana”</w:t>
            </w:r>
          </w:p>
        </w:tc>
        <w:tc>
          <w:tcPr>
            <w:tcW w:w="3638" w:type="dxa"/>
          </w:tcPr>
          <w:p w14:paraId="035444BD" w14:textId="214C72CF" w:rsidR="007F1C7A" w:rsidRDefault="00943AAC" w:rsidP="00971FA8">
            <w:r>
              <w:t>U</w:t>
            </w:r>
            <w:r w:rsidR="00D3747D">
              <w:t>waga u</w:t>
            </w:r>
            <w:r>
              <w:t>względnion</w:t>
            </w:r>
            <w:r w:rsidR="00D3747D">
              <w:t>a</w:t>
            </w:r>
            <w:r w:rsidR="00686752">
              <w:t>.</w:t>
            </w:r>
          </w:p>
        </w:tc>
      </w:tr>
      <w:tr w:rsidR="007F1C7A" w14:paraId="6740144F" w14:textId="77777777" w:rsidTr="00681E52">
        <w:tc>
          <w:tcPr>
            <w:tcW w:w="768" w:type="dxa"/>
            <w:vAlign w:val="center"/>
          </w:tcPr>
          <w:p w14:paraId="1FD8BB47" w14:textId="77777777" w:rsidR="007F1C7A" w:rsidRDefault="007F1C7A" w:rsidP="00971FA8">
            <w:pPr>
              <w:pStyle w:val="Akapitzlist"/>
              <w:numPr>
                <w:ilvl w:val="0"/>
                <w:numId w:val="1"/>
              </w:numPr>
            </w:pPr>
          </w:p>
        </w:tc>
        <w:tc>
          <w:tcPr>
            <w:tcW w:w="2200" w:type="dxa"/>
          </w:tcPr>
          <w:p w14:paraId="58956058" w14:textId="77777777" w:rsidR="007F1C7A" w:rsidRDefault="007F1C7A" w:rsidP="00971FA8">
            <w:r>
              <w:t>Główny Urząd Statystyczny</w:t>
            </w:r>
          </w:p>
        </w:tc>
        <w:tc>
          <w:tcPr>
            <w:tcW w:w="2686" w:type="dxa"/>
          </w:tcPr>
          <w:p w14:paraId="759DE9BB" w14:textId="77777777" w:rsidR="007F1C7A" w:rsidRDefault="007F1C7A" w:rsidP="00971FA8">
            <w:r>
              <w:t>s. 70</w:t>
            </w:r>
          </w:p>
        </w:tc>
        <w:tc>
          <w:tcPr>
            <w:tcW w:w="4737" w:type="dxa"/>
          </w:tcPr>
          <w:p w14:paraId="461C9C00" w14:textId="77777777" w:rsidR="007F1C7A" w:rsidRDefault="007F1C7A" w:rsidP="00971FA8">
            <w:r>
              <w:t xml:space="preserve">Do zdania </w:t>
            </w:r>
            <w:r w:rsidRPr="007F1C7A">
              <w:rPr>
                <w:i/>
              </w:rPr>
              <w:t xml:space="preserve">Działanie zakłada uruchomienie lokalnych centrów rozwoju kompetencji cyfrowych </w:t>
            </w:r>
            <w:r w:rsidRPr="007F1C7A">
              <w:rPr>
                <w:i/>
              </w:rPr>
              <w:lastRenderedPageBreak/>
              <w:t xml:space="preserve">(Kluby Rozwoju Cyfrowego) na bazie działających lokalnie instytucji takich jak </w:t>
            </w:r>
            <w:proofErr w:type="spellStart"/>
            <w:r w:rsidRPr="007F1C7A">
              <w:rPr>
                <w:i/>
              </w:rPr>
              <w:t>mediateki</w:t>
            </w:r>
            <w:proofErr w:type="spellEnd"/>
            <w:r w:rsidRPr="007F1C7A">
              <w:rPr>
                <w:i/>
              </w:rPr>
              <w:t>, biblioteki, Lokalne Ośrodki Wiedzy i Edukacji, domy kultury, Centra Usług Społecznych, Uniwersytety Trzeciego Wieku, itp.</w:t>
            </w:r>
            <w:r>
              <w:rPr>
                <w:i/>
              </w:rPr>
              <w:t xml:space="preserve"> </w:t>
            </w:r>
            <w:r w:rsidRPr="007F1C7A">
              <w:t>Proponujemy uwzględnić także kluby seniora, mając na uwadze wykluczenie cyfrowe szczególnie wśród seniorów (grupa wiekowa 65-74 lata) oraz koła gospodyń wiejskich zważywszy na duży problem z cyfryzacją na obszarach rolniczych.</w:t>
            </w:r>
          </w:p>
        </w:tc>
        <w:tc>
          <w:tcPr>
            <w:tcW w:w="3638" w:type="dxa"/>
          </w:tcPr>
          <w:p w14:paraId="52998996" w14:textId="0CDD3BC8" w:rsidR="007F1C7A" w:rsidRDefault="00943AAC" w:rsidP="00971FA8">
            <w:r>
              <w:lastRenderedPageBreak/>
              <w:t>U</w:t>
            </w:r>
            <w:r w:rsidR="00D3747D">
              <w:t>waga u</w:t>
            </w:r>
            <w:r>
              <w:t>względnion</w:t>
            </w:r>
            <w:r w:rsidR="00D3747D">
              <w:t>a</w:t>
            </w:r>
            <w:r w:rsidR="00686752">
              <w:t>.</w:t>
            </w:r>
          </w:p>
        </w:tc>
      </w:tr>
      <w:tr w:rsidR="007F1C7A" w14:paraId="72AE90F5" w14:textId="77777777" w:rsidTr="00681E52">
        <w:tc>
          <w:tcPr>
            <w:tcW w:w="768" w:type="dxa"/>
            <w:vAlign w:val="center"/>
          </w:tcPr>
          <w:p w14:paraId="20580C38" w14:textId="77777777" w:rsidR="007F1C7A" w:rsidRDefault="007F1C7A" w:rsidP="00971FA8">
            <w:pPr>
              <w:pStyle w:val="Akapitzlist"/>
              <w:numPr>
                <w:ilvl w:val="0"/>
                <w:numId w:val="1"/>
              </w:numPr>
            </w:pPr>
          </w:p>
        </w:tc>
        <w:tc>
          <w:tcPr>
            <w:tcW w:w="2200" w:type="dxa"/>
          </w:tcPr>
          <w:p w14:paraId="6CD97AEF" w14:textId="77777777" w:rsidR="007F1C7A" w:rsidRDefault="007F1C7A" w:rsidP="00971FA8">
            <w:r>
              <w:t>Główny Urząd Statystyczny</w:t>
            </w:r>
          </w:p>
        </w:tc>
        <w:tc>
          <w:tcPr>
            <w:tcW w:w="2686" w:type="dxa"/>
          </w:tcPr>
          <w:p w14:paraId="6E4E24AC" w14:textId="77777777" w:rsidR="007F1C7A" w:rsidRDefault="007F1C7A" w:rsidP="00971FA8">
            <w:r>
              <w:t xml:space="preserve">s. 86 </w:t>
            </w:r>
          </w:p>
        </w:tc>
        <w:tc>
          <w:tcPr>
            <w:tcW w:w="4737" w:type="dxa"/>
          </w:tcPr>
          <w:p w14:paraId="46E1D272" w14:textId="77777777" w:rsidR="007F1C7A" w:rsidRDefault="007F1C7A" w:rsidP="00971FA8">
            <w:r>
              <w:t xml:space="preserve">Do zapisu </w:t>
            </w:r>
            <w:r w:rsidRPr="007F1C7A">
              <w:rPr>
                <w:i/>
              </w:rPr>
              <w:t xml:space="preserve">na zwiększenie poziomu umiejętności realizacji e-usług z pomocą platformy </w:t>
            </w:r>
            <w:proofErr w:type="spellStart"/>
            <w:r w:rsidRPr="007F1C7A">
              <w:rPr>
                <w:i/>
              </w:rPr>
              <w:t>ePUAP</w:t>
            </w:r>
            <w:proofErr w:type="spellEnd"/>
            <w:r>
              <w:rPr>
                <w:i/>
              </w:rPr>
              <w:t xml:space="preserve">: </w:t>
            </w:r>
            <w:r w:rsidRPr="007F1C7A">
              <w:t xml:space="preserve">Uważamy, że celowe jest przede wszystkim udoskonalenie funkcjonalności tej platformy tak, aby była przyjazna i komfortowa w użyciu – w tym szczególnie dla obywateli, a nie urzędników, gdyż to właśnie oni mogą mieć największy problem z jej obsługą od strony technicznej. Z perspektywy urzędników istotniejsze jest dostosowanie platformy do potrzeb wynikających ze specyfiki działania danego urzędu (np. zapewnienie możliwości wygodnej obsługi nie tylko indywidualnych obywateli, lecz także podmiotów gospodarczych – obecnie korespondencja przesyłana przez </w:t>
            </w:r>
            <w:proofErr w:type="spellStart"/>
            <w:r w:rsidRPr="007F1C7A">
              <w:t>ePUAP</w:t>
            </w:r>
            <w:proofErr w:type="spellEnd"/>
            <w:r w:rsidRPr="007F1C7A">
              <w:t xml:space="preserve"> do jednostek statystyki publicznej zawierają jako numer identyfikacyjny numer PESEL zamiast numeru REGON, co w niektórych przypadkach uniemożliwia ustalenie nadawcy wiadomości).</w:t>
            </w:r>
          </w:p>
        </w:tc>
        <w:tc>
          <w:tcPr>
            <w:tcW w:w="3638" w:type="dxa"/>
          </w:tcPr>
          <w:p w14:paraId="20B63BF8" w14:textId="77777777" w:rsidR="00D3747D" w:rsidRDefault="00D3747D" w:rsidP="00971FA8">
            <w:r>
              <w:t>Uwaga nie</w:t>
            </w:r>
            <w:r w:rsidR="00943AAC" w:rsidRPr="00943AAC">
              <w:t>uwzględnion</w:t>
            </w:r>
            <w:r>
              <w:t>a</w:t>
            </w:r>
            <w:r w:rsidR="00943AAC" w:rsidRPr="00943AAC">
              <w:t xml:space="preserve">. </w:t>
            </w:r>
          </w:p>
          <w:p w14:paraId="605331E9" w14:textId="537A9515" w:rsidR="007F1C7A" w:rsidRPr="004A38D1" w:rsidRDefault="00943AAC" w:rsidP="00971FA8">
            <w:pPr>
              <w:rPr>
                <w:color w:val="FF0000"/>
              </w:rPr>
            </w:pPr>
            <w:r w:rsidRPr="00943AAC">
              <w:t>Uwaga nie dotyczy PRKC i kompetencji cyfrowych.</w:t>
            </w:r>
          </w:p>
        </w:tc>
      </w:tr>
      <w:tr w:rsidR="007F1C7A" w14:paraId="1D1E13E5" w14:textId="77777777" w:rsidTr="00681E52">
        <w:tc>
          <w:tcPr>
            <w:tcW w:w="768" w:type="dxa"/>
            <w:vAlign w:val="center"/>
          </w:tcPr>
          <w:p w14:paraId="2DFBF4A0" w14:textId="77777777" w:rsidR="007F1C7A" w:rsidRDefault="007F1C7A" w:rsidP="00971FA8">
            <w:pPr>
              <w:pStyle w:val="Akapitzlist"/>
              <w:numPr>
                <w:ilvl w:val="0"/>
                <w:numId w:val="1"/>
              </w:numPr>
            </w:pPr>
          </w:p>
        </w:tc>
        <w:tc>
          <w:tcPr>
            <w:tcW w:w="2200" w:type="dxa"/>
          </w:tcPr>
          <w:p w14:paraId="35E46E13" w14:textId="77777777" w:rsidR="007F1C7A" w:rsidRDefault="007F1C7A" w:rsidP="00971FA8">
            <w:r>
              <w:t>Główny Urząd Statystyczny</w:t>
            </w:r>
          </w:p>
        </w:tc>
        <w:tc>
          <w:tcPr>
            <w:tcW w:w="2686" w:type="dxa"/>
          </w:tcPr>
          <w:p w14:paraId="175FA17A" w14:textId="77777777" w:rsidR="007F1C7A" w:rsidRDefault="007F1C7A" w:rsidP="00971FA8">
            <w:r>
              <w:t>s. 87</w:t>
            </w:r>
          </w:p>
        </w:tc>
        <w:tc>
          <w:tcPr>
            <w:tcW w:w="4737" w:type="dxa"/>
          </w:tcPr>
          <w:p w14:paraId="4AC27F3D" w14:textId="77777777" w:rsidR="007F1C7A" w:rsidRPr="007F1C7A" w:rsidRDefault="007F1C7A" w:rsidP="00971FA8">
            <w:r>
              <w:t xml:space="preserve">Do zapisu </w:t>
            </w:r>
            <w:r w:rsidRPr="007F1C7A">
              <w:rPr>
                <w:i/>
              </w:rPr>
              <w:t>(głównie w podmiotach małych o liczbie pracujących nieprzekraczającej 10 osób)</w:t>
            </w:r>
            <w:r>
              <w:rPr>
                <w:i/>
              </w:rPr>
              <w:t xml:space="preserve"> </w:t>
            </w:r>
            <w:r>
              <w:t>p</w:t>
            </w:r>
            <w:r w:rsidRPr="007F1C7A">
              <w:t xml:space="preserve">roponujemy zmianę zapisu na: „…głównie w podmiotach mikro o liczbie pracujących </w:t>
            </w:r>
            <w:r w:rsidRPr="007F1C7A">
              <w:lastRenderedPageBreak/>
              <w:t xml:space="preserve">nieprzekraczającej 9 osób” lub  „…głównie w podmiotach mikro i małych o liczbie pracujących nieprzekraczającej 10 osób”. Zgodnie z nazewnictwem stosowanym w statystyce publicznej podział z uwagi na klasę wielkości jest następujący: - mikro - do 9 pracujących, </w:t>
            </w:r>
          </w:p>
          <w:p w14:paraId="229830A9" w14:textId="77777777" w:rsidR="007F1C7A" w:rsidRPr="007F1C7A" w:rsidRDefault="007F1C7A" w:rsidP="00971FA8">
            <w:r w:rsidRPr="007F1C7A">
              <w:t xml:space="preserve">- małe - 10-49 pracujących, </w:t>
            </w:r>
          </w:p>
          <w:p w14:paraId="438F93A5" w14:textId="77777777" w:rsidR="007F1C7A" w:rsidRPr="007F1C7A" w:rsidRDefault="007F1C7A" w:rsidP="00971FA8">
            <w:r w:rsidRPr="007F1C7A">
              <w:t xml:space="preserve">- średnie - 50-249 pracujących, </w:t>
            </w:r>
          </w:p>
          <w:p w14:paraId="761FE905" w14:textId="77777777" w:rsidR="007F1C7A" w:rsidRDefault="007F1C7A" w:rsidP="00971FA8">
            <w:r w:rsidRPr="007F1C7A">
              <w:t>- duże - 250 i więcej pracujących.</w:t>
            </w:r>
          </w:p>
        </w:tc>
        <w:tc>
          <w:tcPr>
            <w:tcW w:w="3638" w:type="dxa"/>
          </w:tcPr>
          <w:p w14:paraId="413B5AFB" w14:textId="1E4B0D33" w:rsidR="007F1C7A" w:rsidRDefault="00943AAC" w:rsidP="00971FA8">
            <w:r>
              <w:lastRenderedPageBreak/>
              <w:t>U</w:t>
            </w:r>
            <w:r w:rsidR="00D3747D">
              <w:t>waga u</w:t>
            </w:r>
            <w:r>
              <w:t>względnion</w:t>
            </w:r>
            <w:r w:rsidR="00D3747D">
              <w:t>a</w:t>
            </w:r>
            <w:r w:rsidR="00686752">
              <w:t>.</w:t>
            </w:r>
          </w:p>
        </w:tc>
      </w:tr>
      <w:tr w:rsidR="007F1C7A" w14:paraId="085F1E39" w14:textId="77777777" w:rsidTr="00681E52">
        <w:tc>
          <w:tcPr>
            <w:tcW w:w="768" w:type="dxa"/>
            <w:vAlign w:val="center"/>
          </w:tcPr>
          <w:p w14:paraId="25EE0153" w14:textId="77777777" w:rsidR="007F1C7A" w:rsidRDefault="007F1C7A" w:rsidP="00971FA8">
            <w:pPr>
              <w:pStyle w:val="Akapitzlist"/>
              <w:numPr>
                <w:ilvl w:val="0"/>
                <w:numId w:val="1"/>
              </w:numPr>
            </w:pPr>
          </w:p>
        </w:tc>
        <w:tc>
          <w:tcPr>
            <w:tcW w:w="2200" w:type="dxa"/>
          </w:tcPr>
          <w:p w14:paraId="36B58B6B" w14:textId="77777777" w:rsidR="007F1C7A" w:rsidRDefault="000907F2" w:rsidP="00971FA8">
            <w:r>
              <w:t>Główny Urząd Statystyczny</w:t>
            </w:r>
          </w:p>
        </w:tc>
        <w:tc>
          <w:tcPr>
            <w:tcW w:w="2686" w:type="dxa"/>
          </w:tcPr>
          <w:p w14:paraId="6DB25F89" w14:textId="77777777" w:rsidR="007F1C7A" w:rsidRDefault="007F1C7A" w:rsidP="00971FA8">
            <w:r>
              <w:t>s. 89</w:t>
            </w:r>
          </w:p>
        </w:tc>
        <w:tc>
          <w:tcPr>
            <w:tcW w:w="4737" w:type="dxa"/>
          </w:tcPr>
          <w:p w14:paraId="6F07F889" w14:textId="77777777" w:rsidR="007F1C7A" w:rsidRPr="000907F2" w:rsidRDefault="000907F2" w:rsidP="00971FA8">
            <w:pPr>
              <w:rPr>
                <w:i/>
              </w:rPr>
            </w:pPr>
            <w:r w:rsidRPr="000907F2">
              <w:t>W zdaniu</w:t>
            </w:r>
            <w:r>
              <w:rPr>
                <w:i/>
              </w:rPr>
              <w:t xml:space="preserve"> </w:t>
            </w:r>
            <w:r w:rsidR="007F1C7A" w:rsidRPr="000907F2">
              <w:rPr>
                <w:i/>
              </w:rPr>
              <w:t>Docelowym celem projektu jest podniesienie poziomu odporności systemów informacyjnych administracji publicznej</w:t>
            </w:r>
            <w:r>
              <w:rPr>
                <w:i/>
              </w:rPr>
              <w:t xml:space="preserve">… </w:t>
            </w:r>
            <w:r>
              <w:t>p</w:t>
            </w:r>
            <w:r w:rsidRPr="000907F2">
              <w:t>roponujemy zapis „Głównym celem</w:t>
            </w:r>
            <w:r>
              <w:t xml:space="preserve"> projektu jest</w:t>
            </w:r>
            <w:r w:rsidRPr="000907F2">
              <w:t>…”</w:t>
            </w:r>
          </w:p>
        </w:tc>
        <w:tc>
          <w:tcPr>
            <w:tcW w:w="3638" w:type="dxa"/>
          </w:tcPr>
          <w:p w14:paraId="1FD6A405" w14:textId="40461114" w:rsidR="007F1C7A" w:rsidRDefault="001D4A0F" w:rsidP="00971FA8">
            <w:r>
              <w:t>U</w:t>
            </w:r>
            <w:r w:rsidR="00D3747D">
              <w:t>waga u</w:t>
            </w:r>
            <w:r>
              <w:t>względnion</w:t>
            </w:r>
            <w:r w:rsidR="00D3747D">
              <w:t>a</w:t>
            </w:r>
            <w:r w:rsidR="00686752">
              <w:t>.</w:t>
            </w:r>
          </w:p>
        </w:tc>
      </w:tr>
      <w:tr w:rsidR="000907F2" w14:paraId="5FCC5DD5" w14:textId="77777777" w:rsidTr="00681E52">
        <w:tc>
          <w:tcPr>
            <w:tcW w:w="768" w:type="dxa"/>
            <w:vAlign w:val="center"/>
          </w:tcPr>
          <w:p w14:paraId="44173258" w14:textId="77777777" w:rsidR="000907F2" w:rsidRDefault="000907F2" w:rsidP="00971FA8">
            <w:pPr>
              <w:pStyle w:val="Akapitzlist"/>
              <w:numPr>
                <w:ilvl w:val="0"/>
                <w:numId w:val="1"/>
              </w:numPr>
            </w:pPr>
          </w:p>
        </w:tc>
        <w:tc>
          <w:tcPr>
            <w:tcW w:w="2200" w:type="dxa"/>
          </w:tcPr>
          <w:p w14:paraId="48F3384E" w14:textId="77777777" w:rsidR="000907F2" w:rsidRDefault="000907F2" w:rsidP="00971FA8">
            <w:r>
              <w:t>Główny Urząd Statystyczny</w:t>
            </w:r>
          </w:p>
        </w:tc>
        <w:tc>
          <w:tcPr>
            <w:tcW w:w="2686" w:type="dxa"/>
          </w:tcPr>
          <w:p w14:paraId="35C3D61D" w14:textId="77777777" w:rsidR="000907F2" w:rsidRDefault="000907F2" w:rsidP="00971FA8">
            <w:r>
              <w:t>s. 119</w:t>
            </w:r>
          </w:p>
        </w:tc>
        <w:tc>
          <w:tcPr>
            <w:tcW w:w="4737" w:type="dxa"/>
          </w:tcPr>
          <w:p w14:paraId="34F9DED8" w14:textId="77777777" w:rsidR="000907F2" w:rsidRPr="000907F2" w:rsidRDefault="000907F2" w:rsidP="00971FA8">
            <w:r w:rsidRPr="000907F2">
              <w:rPr>
                <w:i/>
              </w:rPr>
              <w:t>b) Ułatwienie wszystkim mieszkańcom Polski dostępu do rozwoju kompetencji cyfrowych będzie odbywać się za pomocą sieci Klubów Rozwoju Cyfrowego, usytuowanych w każdej gminie, która wyrazi chęć organizacji KRC na swoim terenie.</w:t>
            </w:r>
            <w:r>
              <w:rPr>
                <w:i/>
              </w:rPr>
              <w:t xml:space="preserve"> - </w:t>
            </w:r>
            <w:r w:rsidRPr="000907F2">
              <w:t>Zastanawiamy się czy takie kluby nie powinny występować jednak w każdej gminie tj. czy nie powinny być one zobowiązane do ich utworzenia, aby dostęp do rozwoju kompetencji cyfrowych był faktycznie możliwy dla wszystkich mieszkańców. Ewentualnie czy nie powinno się określić progów np. pod względem liczby ludności, dla których jest obligatoryjne stworzenie KRC.</w:t>
            </w:r>
          </w:p>
        </w:tc>
        <w:tc>
          <w:tcPr>
            <w:tcW w:w="3638" w:type="dxa"/>
          </w:tcPr>
          <w:p w14:paraId="7B00E42F" w14:textId="77777777" w:rsidR="00D3747D" w:rsidRDefault="00D3747D" w:rsidP="00971FA8">
            <w:r>
              <w:t>Uwaga nie</w:t>
            </w:r>
            <w:r w:rsidR="004A38D1" w:rsidRPr="00AB26A3">
              <w:t>uwzględnion</w:t>
            </w:r>
            <w:r>
              <w:t>a.</w:t>
            </w:r>
          </w:p>
          <w:p w14:paraId="70E6C2CE" w14:textId="6C3ED190" w:rsidR="000907F2" w:rsidRPr="00D3747D" w:rsidRDefault="004A38D1" w:rsidP="00971FA8">
            <w:r w:rsidRPr="00AB26A3">
              <w:t>Co do zasady planuje się utworzenie KRC w każdej gminie</w:t>
            </w:r>
            <w:r w:rsidR="00AB26A3" w:rsidRPr="00AB26A3">
              <w:t xml:space="preserve">, ale </w:t>
            </w:r>
            <w:r w:rsidR="00FF12B4">
              <w:t xml:space="preserve">nie </w:t>
            </w:r>
            <w:r w:rsidR="00AB26A3" w:rsidRPr="00AB26A3">
              <w:t xml:space="preserve">chcemy zmuszać gmin do tworzenia KRC, a bardziej zachęcać </w:t>
            </w:r>
            <w:r w:rsidR="00FF12B4">
              <w:t>u</w:t>
            </w:r>
            <w:r w:rsidR="00AB26A3" w:rsidRPr="00AB26A3">
              <w:t>kazując korzyści.</w:t>
            </w:r>
          </w:p>
        </w:tc>
      </w:tr>
      <w:tr w:rsidR="00FF53CA" w14:paraId="0B7157A8" w14:textId="77777777" w:rsidTr="00681E52">
        <w:tc>
          <w:tcPr>
            <w:tcW w:w="768" w:type="dxa"/>
            <w:vAlign w:val="center"/>
          </w:tcPr>
          <w:p w14:paraId="3E389E1A" w14:textId="77777777" w:rsidR="00FF53CA" w:rsidRDefault="00FF53CA" w:rsidP="00971FA8">
            <w:pPr>
              <w:pStyle w:val="Akapitzlist"/>
              <w:numPr>
                <w:ilvl w:val="0"/>
                <w:numId w:val="1"/>
              </w:numPr>
            </w:pPr>
          </w:p>
        </w:tc>
        <w:tc>
          <w:tcPr>
            <w:tcW w:w="2200" w:type="dxa"/>
          </w:tcPr>
          <w:p w14:paraId="1D16309A" w14:textId="77777777" w:rsidR="00FF53CA" w:rsidRDefault="00FF53CA" w:rsidP="00971FA8">
            <w:r>
              <w:t>Główny Urząd Statystyczny</w:t>
            </w:r>
          </w:p>
        </w:tc>
        <w:tc>
          <w:tcPr>
            <w:tcW w:w="2686" w:type="dxa"/>
          </w:tcPr>
          <w:p w14:paraId="77533FA9" w14:textId="77777777" w:rsidR="00FF53CA" w:rsidRDefault="00D43B3D" w:rsidP="00971FA8">
            <w:r>
              <w:t>Uzasadnienie</w:t>
            </w:r>
            <w:r w:rsidR="00D67F01">
              <w:t xml:space="preserve"> </w:t>
            </w:r>
          </w:p>
        </w:tc>
        <w:tc>
          <w:tcPr>
            <w:tcW w:w="4737" w:type="dxa"/>
          </w:tcPr>
          <w:p w14:paraId="4FBE2DAE" w14:textId="77777777" w:rsidR="00FF53CA" w:rsidRDefault="00D67F01" w:rsidP="00971FA8">
            <w:r>
              <w:t xml:space="preserve">Do zdania </w:t>
            </w:r>
            <w:r w:rsidRPr="00D67F01">
              <w:rPr>
                <w:i/>
              </w:rPr>
              <w:t>Niepełnosprawni wykluczeni cyfrowo (w 2021 roku wskaźnik niekorzystających z sieci w grupie niepełnosprawnych z orzeczoną niepełnosprawnością  wyniósł 43%, natomiast nigdy niekor</w:t>
            </w:r>
            <w:r>
              <w:rPr>
                <w:i/>
              </w:rPr>
              <w:t xml:space="preserve">zystających z </w:t>
            </w:r>
            <w:proofErr w:type="spellStart"/>
            <w:r>
              <w:rPr>
                <w:i/>
              </w:rPr>
              <w:t>internetu</w:t>
            </w:r>
            <w:proofErr w:type="spellEnd"/>
            <w:r>
              <w:rPr>
                <w:i/>
              </w:rPr>
              <w:t xml:space="preserve"> – 26% ): </w:t>
            </w:r>
            <w:r w:rsidRPr="00D67F01">
              <w:t>z orzeczoną niepełnosprawnością ko</w:t>
            </w:r>
            <w:r>
              <w:t xml:space="preserve">rzystających z </w:t>
            </w:r>
            <w:r>
              <w:lastRenderedPageBreak/>
              <w:t xml:space="preserve">pomocy społecznej wyniósł 43%, natomiast </w:t>
            </w:r>
            <w:r w:rsidRPr="00D67F01">
              <w:t>wśród niepełnosprawnych niekorzystających z pomocy społecznej – 27%</w:t>
            </w:r>
            <w:r>
              <w:t>.</w:t>
            </w:r>
          </w:p>
          <w:p w14:paraId="4DEB4CA5" w14:textId="77777777" w:rsidR="00D67F01" w:rsidRDefault="00D67F01" w:rsidP="00971FA8"/>
          <w:p w14:paraId="56E82703" w14:textId="77777777" w:rsidR="00D67F01" w:rsidRPr="00D67F01" w:rsidRDefault="00D67F01" w:rsidP="00971FA8">
            <w:pPr>
              <w:rPr>
                <w:i/>
              </w:rPr>
            </w:pPr>
            <w:r>
              <w:t xml:space="preserve">Do zdania </w:t>
            </w:r>
            <w:r w:rsidRPr="00D67F01">
              <w:rPr>
                <w:i/>
              </w:rPr>
              <w:t xml:space="preserve">Brak systemowych rozwiązań w zakresie zachęcania osób dorosłych do uczenia się przez całe życie oraz brak działań propagujących i zachęcających dorosłych do podnoszenia </w:t>
            </w:r>
          </w:p>
          <w:p w14:paraId="232D8C76" w14:textId="77777777" w:rsidR="00D67F01" w:rsidRPr="00D67F01" w:rsidRDefault="00D67F01" w:rsidP="00971FA8">
            <w:r w:rsidRPr="00D67F01">
              <w:rPr>
                <w:i/>
              </w:rPr>
              <w:t xml:space="preserve">i uzupełniania swoich kompetencji cyfrowych po zakończeniu edukacji formalnej (aż 72% osób niekorzystających z </w:t>
            </w:r>
            <w:proofErr w:type="spellStart"/>
            <w:r w:rsidRPr="00D67F01">
              <w:rPr>
                <w:i/>
              </w:rPr>
              <w:t>internetu</w:t>
            </w:r>
            <w:proofErr w:type="spellEnd"/>
            <w:r w:rsidRPr="00D67F01">
              <w:rPr>
                <w:i/>
              </w:rPr>
              <w:t xml:space="preserve"> w wieku 25-74 lata nie ma potrzeby korzystania z sieci, a 58% nie korzysta z powodu braku umiejętności ).</w:t>
            </w:r>
            <w:r>
              <w:rPr>
                <w:i/>
              </w:rPr>
              <w:t xml:space="preserve">: </w:t>
            </w:r>
            <w:r w:rsidRPr="00D67F01">
              <w:t xml:space="preserve">w 2021 r. 64% osób w wieku 25-74 lata nie korzystało z </w:t>
            </w:r>
            <w:proofErr w:type="spellStart"/>
            <w:r w:rsidRPr="00D67F01">
              <w:t>internetu</w:t>
            </w:r>
            <w:proofErr w:type="spellEnd"/>
            <w:r w:rsidRPr="00D67F01">
              <w:t xml:space="preserve"> w ciągu ostatnich 3 miesięcy z powodu braku potrzeby, a 51% z powodu braku umiejętności</w:t>
            </w:r>
          </w:p>
        </w:tc>
        <w:tc>
          <w:tcPr>
            <w:tcW w:w="3638" w:type="dxa"/>
          </w:tcPr>
          <w:p w14:paraId="257253B3" w14:textId="5B0A04E8" w:rsidR="00D43B3D" w:rsidRDefault="00304140" w:rsidP="00971FA8">
            <w:r>
              <w:lastRenderedPageBreak/>
              <w:t>U</w:t>
            </w:r>
            <w:r w:rsidR="00D3747D">
              <w:t>waga u</w:t>
            </w:r>
            <w:r>
              <w:t>względnion</w:t>
            </w:r>
            <w:r w:rsidR="00D3747D">
              <w:t>a</w:t>
            </w:r>
            <w:r w:rsidR="00686752">
              <w:t>.</w:t>
            </w:r>
          </w:p>
          <w:p w14:paraId="2E01C2C9" w14:textId="77777777" w:rsidR="00D43B3D" w:rsidRDefault="00D43B3D" w:rsidP="00971FA8"/>
          <w:p w14:paraId="149A5ACF" w14:textId="77777777" w:rsidR="00D43B3D" w:rsidRDefault="00D43B3D" w:rsidP="00971FA8"/>
          <w:p w14:paraId="009A7D1D" w14:textId="77777777" w:rsidR="00D43B3D" w:rsidRDefault="00D43B3D" w:rsidP="00971FA8"/>
          <w:p w14:paraId="41BE60B5" w14:textId="77777777" w:rsidR="00D43B3D" w:rsidRDefault="00D43B3D" w:rsidP="00971FA8"/>
          <w:p w14:paraId="3F90C8CF" w14:textId="77777777" w:rsidR="00D43B3D" w:rsidRDefault="00D43B3D" w:rsidP="00971FA8"/>
          <w:p w14:paraId="30749653" w14:textId="77777777" w:rsidR="00D43B3D" w:rsidRDefault="00D43B3D" w:rsidP="00971FA8"/>
          <w:p w14:paraId="03B7C1ED" w14:textId="77777777" w:rsidR="00D43B3D" w:rsidRDefault="00D43B3D" w:rsidP="00971FA8"/>
          <w:p w14:paraId="3B97576C" w14:textId="77777777" w:rsidR="00D43B3D" w:rsidRDefault="00D43B3D" w:rsidP="00971FA8"/>
          <w:p w14:paraId="38019829" w14:textId="77777777" w:rsidR="00AB26A3" w:rsidRDefault="00AB26A3" w:rsidP="00971FA8"/>
          <w:p w14:paraId="30373323" w14:textId="2A6B0D8D" w:rsidR="000E60E4" w:rsidRDefault="00AB26A3" w:rsidP="00971FA8">
            <w:r>
              <w:t>U</w:t>
            </w:r>
            <w:r w:rsidR="00D3747D">
              <w:t>waga u</w:t>
            </w:r>
            <w:r>
              <w:t>względnion</w:t>
            </w:r>
            <w:r w:rsidR="00D3747D">
              <w:t>a</w:t>
            </w:r>
            <w:r w:rsidR="00686752">
              <w:t>.</w:t>
            </w:r>
          </w:p>
          <w:p w14:paraId="50B1A22D" w14:textId="77777777" w:rsidR="000E60E4" w:rsidRDefault="000E60E4" w:rsidP="00971FA8"/>
          <w:p w14:paraId="49A777BB" w14:textId="77777777" w:rsidR="000E60E4" w:rsidRDefault="000E60E4" w:rsidP="00971FA8"/>
          <w:p w14:paraId="38A9238A" w14:textId="77777777" w:rsidR="000E60E4" w:rsidRDefault="000E60E4" w:rsidP="00971FA8"/>
          <w:p w14:paraId="4BC54078" w14:textId="77777777" w:rsidR="000E60E4" w:rsidRDefault="000E60E4" w:rsidP="00971FA8"/>
          <w:p w14:paraId="6947258A" w14:textId="77777777" w:rsidR="000E60E4" w:rsidRDefault="000E60E4" w:rsidP="00971FA8"/>
          <w:p w14:paraId="69781930" w14:textId="77777777" w:rsidR="000E60E4" w:rsidRDefault="000E60E4" w:rsidP="00971FA8"/>
          <w:p w14:paraId="3F6B4285" w14:textId="77777777" w:rsidR="000E60E4" w:rsidRDefault="000E60E4" w:rsidP="00971FA8"/>
          <w:p w14:paraId="10E3BA5E" w14:textId="77777777" w:rsidR="000E60E4" w:rsidRDefault="000E60E4" w:rsidP="00971FA8"/>
        </w:tc>
      </w:tr>
      <w:tr w:rsidR="00FF53CA" w14:paraId="0330F281" w14:textId="77777777" w:rsidTr="00681E52">
        <w:tc>
          <w:tcPr>
            <w:tcW w:w="768" w:type="dxa"/>
            <w:vAlign w:val="center"/>
          </w:tcPr>
          <w:p w14:paraId="163C81A7" w14:textId="77777777" w:rsidR="00FF53CA" w:rsidRDefault="00FF53CA" w:rsidP="00971FA8">
            <w:pPr>
              <w:pStyle w:val="Akapitzlist"/>
              <w:numPr>
                <w:ilvl w:val="0"/>
                <w:numId w:val="1"/>
              </w:numPr>
            </w:pPr>
          </w:p>
        </w:tc>
        <w:tc>
          <w:tcPr>
            <w:tcW w:w="2200" w:type="dxa"/>
          </w:tcPr>
          <w:p w14:paraId="2A46B14C" w14:textId="77777777" w:rsidR="00FF53CA" w:rsidRDefault="00FF53CA" w:rsidP="00971FA8">
            <w:r>
              <w:t>Główny Urząd Statystyczny</w:t>
            </w:r>
          </w:p>
        </w:tc>
        <w:tc>
          <w:tcPr>
            <w:tcW w:w="2686" w:type="dxa"/>
          </w:tcPr>
          <w:p w14:paraId="750C6AFA" w14:textId="77777777" w:rsidR="00FF53CA" w:rsidRDefault="00D67F01" w:rsidP="00971FA8">
            <w:r>
              <w:t>str. 0 OSR</w:t>
            </w:r>
          </w:p>
        </w:tc>
        <w:tc>
          <w:tcPr>
            <w:tcW w:w="4737" w:type="dxa"/>
          </w:tcPr>
          <w:p w14:paraId="7870E5C3" w14:textId="77777777" w:rsidR="00FF53CA" w:rsidRDefault="00D67F01" w:rsidP="00971FA8">
            <w:r>
              <w:t xml:space="preserve">Do zdania </w:t>
            </w:r>
            <w:r w:rsidRPr="00D67F01">
              <w:rPr>
                <w:i/>
              </w:rPr>
              <w:t xml:space="preserve">Według danych GUS z 2021 roku wskaźnik niekorzystających z sieci w grupie osób niepełnosprawnych z orzeczoną niepełnosprawnością  wyniósł 43% (w 2020 r. 47%), natomiast nigdy nie korzystających z </w:t>
            </w:r>
            <w:proofErr w:type="spellStart"/>
            <w:r w:rsidRPr="00D67F01">
              <w:rPr>
                <w:i/>
              </w:rPr>
              <w:t>internetu</w:t>
            </w:r>
            <w:proofErr w:type="spellEnd"/>
            <w:r w:rsidRPr="00D67F01">
              <w:rPr>
                <w:i/>
              </w:rPr>
              <w:t xml:space="preserve"> – 26%</w:t>
            </w:r>
            <w:r>
              <w:rPr>
                <w:i/>
              </w:rPr>
              <w:t xml:space="preserve">: </w:t>
            </w:r>
            <w:r w:rsidRPr="00D67F01">
              <w:rPr>
                <w:i/>
              </w:rPr>
              <w:t xml:space="preserve"> </w:t>
            </w:r>
            <w:r w:rsidRPr="00D67F01">
              <w:t>z orzeczoną niepełnosprawnością korzystających z pomocy społecznej wyniósł 43%, natomiast wśród niepełnosprawnych niekorzystających z pomocy społecznej – 27%.</w:t>
            </w:r>
          </w:p>
        </w:tc>
        <w:tc>
          <w:tcPr>
            <w:tcW w:w="3638" w:type="dxa"/>
          </w:tcPr>
          <w:p w14:paraId="1E2B6E3E" w14:textId="67F3A8D2" w:rsidR="00FF53CA" w:rsidRDefault="00AB26A3" w:rsidP="00971FA8">
            <w:r>
              <w:t>U</w:t>
            </w:r>
            <w:r w:rsidR="00D3747D">
              <w:t>waga u</w:t>
            </w:r>
            <w:r>
              <w:t>względnion</w:t>
            </w:r>
            <w:r w:rsidR="00D3747D">
              <w:t>a</w:t>
            </w:r>
            <w:r w:rsidR="00686752">
              <w:t>.</w:t>
            </w:r>
          </w:p>
        </w:tc>
      </w:tr>
      <w:tr w:rsidR="000907F2" w14:paraId="6301D57C" w14:textId="77777777" w:rsidTr="00681E52">
        <w:tc>
          <w:tcPr>
            <w:tcW w:w="768" w:type="dxa"/>
            <w:vAlign w:val="center"/>
          </w:tcPr>
          <w:p w14:paraId="07D3F843" w14:textId="77777777" w:rsidR="000907F2" w:rsidRDefault="000907F2" w:rsidP="00971FA8">
            <w:pPr>
              <w:pStyle w:val="Akapitzlist"/>
              <w:numPr>
                <w:ilvl w:val="0"/>
                <w:numId w:val="1"/>
              </w:numPr>
            </w:pPr>
          </w:p>
        </w:tc>
        <w:tc>
          <w:tcPr>
            <w:tcW w:w="2200" w:type="dxa"/>
          </w:tcPr>
          <w:p w14:paraId="69E7DB10" w14:textId="77777777" w:rsidR="000907F2" w:rsidRDefault="000907F2" w:rsidP="00971FA8">
            <w:r>
              <w:t>Główny Urząd Statystyczny</w:t>
            </w:r>
          </w:p>
        </w:tc>
        <w:tc>
          <w:tcPr>
            <w:tcW w:w="2686" w:type="dxa"/>
          </w:tcPr>
          <w:p w14:paraId="7ECBD289" w14:textId="77777777" w:rsidR="000907F2" w:rsidRDefault="000907F2" w:rsidP="00971FA8">
            <w:r>
              <w:t>Str. 15 OSR</w:t>
            </w:r>
          </w:p>
        </w:tc>
        <w:tc>
          <w:tcPr>
            <w:tcW w:w="4737" w:type="dxa"/>
          </w:tcPr>
          <w:p w14:paraId="6C58CB9A" w14:textId="77777777" w:rsidR="000907F2" w:rsidRPr="000907F2" w:rsidRDefault="000907F2" w:rsidP="00971FA8">
            <w:r w:rsidRPr="000907F2">
              <w:rPr>
                <w:i/>
              </w:rPr>
              <w:t xml:space="preserve">Systemowe wsparcie edukacji cyfrowej osób dorosłych poprzez powołanie Klubów Rozwoju Cyfrowego oraz stymulowanie ich działań szkoleniowo-doradczych to zadanie o charakterze typowo regionalnym, wręcz lokalnym, schodzącym do poziomu wszystkich gmin. Jego realizacja </w:t>
            </w:r>
            <w:r w:rsidRPr="000907F2">
              <w:rPr>
                <w:i/>
              </w:rPr>
              <w:lastRenderedPageBreak/>
              <w:t>pobudzi środowisko lokalne i poprawi sytuację w zakresie kompetencji cyfrowych, przez co wpłynie korzystnie na wzrost produktywności, konkurencyjności, przedsiębiorczości i innowacyjności, co może zaowocować wzrostem gospodarczym i pożądanym rozwojem społecznym wszystkich regionów Polski.</w:t>
            </w:r>
            <w:r>
              <w:rPr>
                <w:i/>
              </w:rPr>
              <w:t xml:space="preserve"> - </w:t>
            </w:r>
            <w:r w:rsidRPr="000907F2">
              <w:t>Cel będzie osiągnięty o ile powołanie KRC będzie obligatoryjne dla wszystkich gmin a nie tylko tych zainteresowanych ich powstaniem zgodnie z informacją na stronie 119 podpunkt b.</w:t>
            </w:r>
          </w:p>
        </w:tc>
        <w:tc>
          <w:tcPr>
            <w:tcW w:w="3638" w:type="dxa"/>
          </w:tcPr>
          <w:p w14:paraId="7F0050C5" w14:textId="77777777" w:rsidR="00D3747D" w:rsidRDefault="00D3747D" w:rsidP="00971FA8">
            <w:r>
              <w:lastRenderedPageBreak/>
              <w:t>Uwaga nie</w:t>
            </w:r>
            <w:r w:rsidR="00AB26A3" w:rsidRPr="00AB26A3">
              <w:t>uwzględnion</w:t>
            </w:r>
            <w:r>
              <w:t>a</w:t>
            </w:r>
            <w:r w:rsidR="00AB26A3" w:rsidRPr="00AB26A3">
              <w:t>.</w:t>
            </w:r>
          </w:p>
          <w:p w14:paraId="2587BA46" w14:textId="4A279518" w:rsidR="000907F2" w:rsidRPr="00D3747D" w:rsidRDefault="00AB26A3" w:rsidP="00971FA8">
            <w:r w:rsidRPr="00AB26A3">
              <w:t xml:space="preserve">Co do zasady planuje się utworzenie KRC w każdej gminie, ale </w:t>
            </w:r>
            <w:r w:rsidR="00FF12B4">
              <w:t xml:space="preserve">nie </w:t>
            </w:r>
            <w:r w:rsidRPr="00AB26A3">
              <w:t xml:space="preserve">chcemy zmuszać gmin do tworzenia KRC, a bardziej zachęcać </w:t>
            </w:r>
            <w:r w:rsidR="00FF12B4">
              <w:t>u</w:t>
            </w:r>
            <w:r w:rsidRPr="00AB26A3">
              <w:t>kazując korzyści.</w:t>
            </w:r>
          </w:p>
        </w:tc>
      </w:tr>
      <w:tr w:rsidR="00FF53CA" w14:paraId="576A475E" w14:textId="77777777" w:rsidTr="00681E52">
        <w:tc>
          <w:tcPr>
            <w:tcW w:w="768" w:type="dxa"/>
            <w:vAlign w:val="center"/>
          </w:tcPr>
          <w:p w14:paraId="5867EFE1" w14:textId="77777777" w:rsidR="00FF53CA" w:rsidRDefault="00FF53CA" w:rsidP="00971FA8">
            <w:pPr>
              <w:pStyle w:val="Akapitzlist"/>
              <w:numPr>
                <w:ilvl w:val="0"/>
                <w:numId w:val="1"/>
              </w:numPr>
            </w:pPr>
          </w:p>
        </w:tc>
        <w:tc>
          <w:tcPr>
            <w:tcW w:w="2200" w:type="dxa"/>
          </w:tcPr>
          <w:p w14:paraId="266A71EB" w14:textId="77777777" w:rsidR="00FF53CA" w:rsidRDefault="00C7370A" w:rsidP="00971FA8">
            <w:r>
              <w:t>Polska Akademia Nauk</w:t>
            </w:r>
          </w:p>
        </w:tc>
        <w:tc>
          <w:tcPr>
            <w:tcW w:w="2686" w:type="dxa"/>
          </w:tcPr>
          <w:p w14:paraId="5CA0FC6B" w14:textId="77777777" w:rsidR="00FF53CA" w:rsidRDefault="00C7370A" w:rsidP="00971FA8">
            <w:r>
              <w:t>Uwaga ogólna</w:t>
            </w:r>
          </w:p>
        </w:tc>
        <w:tc>
          <w:tcPr>
            <w:tcW w:w="4737" w:type="dxa"/>
          </w:tcPr>
          <w:p w14:paraId="2700699E" w14:textId="77777777" w:rsidR="00C7370A" w:rsidRDefault="00C7370A" w:rsidP="00971FA8">
            <w:r>
              <w:t xml:space="preserve">W odniesieniu do przedmiotowego dokumentu trzeba wyraźnie zaznaczyć, że zwłaszcza w Przemyśle 4.0 tzw. „cyfryzacja procesów" wewnętrznych i zewnętrznych i wszystko, co z niej wynika, musi opierać się na zarządzaniu procesowym, a więc na modelach procesów, w tym szczególnie w zapisie w BPMN, oraz że umiejętność ujawniania wiedzy ukrytej, przekazywania wiedzy i przyjmowania wiedzy przez modele procesów to jest kluczowa kompetencja w </w:t>
            </w:r>
            <w:proofErr w:type="spellStart"/>
            <w:r>
              <w:t>Industry</w:t>
            </w:r>
            <w:proofErr w:type="spellEnd"/>
            <w:r>
              <w:t xml:space="preserve"> 4.0. Jednakże zarządzanie procesowe i modelowanie procesów mają zastosowanie w bardzo szerokim obszarze „kompetencji cyfrowych", dotykając takich sfer jak administracja, służby publiczne, czy też szeroko pojęta sfera biznesu.</w:t>
            </w:r>
          </w:p>
          <w:p w14:paraId="55E09695" w14:textId="77777777" w:rsidR="00FF53CA" w:rsidRDefault="00C7370A" w:rsidP="00971FA8">
            <w:r>
              <w:t xml:space="preserve">Dla podkreślenia tego faktu wspomniany aspekt został w zgłoszonych uwagach wysunięty niejako „na pierwsze miejsce", jakkolwiek, oczywiście, jego znaczenie w poszczególnych działaniach i sferach jest zróżnicowane. </w:t>
            </w:r>
            <w:r w:rsidRPr="00C7370A">
              <w:t xml:space="preserve">Propozycje </w:t>
            </w:r>
            <w:r w:rsidRPr="00C7370A">
              <w:lastRenderedPageBreak/>
              <w:t xml:space="preserve">szczegółowe zmian w dokumencie (w </w:t>
            </w:r>
            <w:r>
              <w:t>uwagach PAN poniżej w kolorze czerwonym).</w:t>
            </w:r>
          </w:p>
        </w:tc>
        <w:tc>
          <w:tcPr>
            <w:tcW w:w="3638" w:type="dxa"/>
          </w:tcPr>
          <w:p w14:paraId="23FDB736" w14:textId="09A06EE3" w:rsidR="00FF53CA" w:rsidRDefault="00F106CF" w:rsidP="00971FA8">
            <w:r>
              <w:lastRenderedPageBreak/>
              <w:t>U</w:t>
            </w:r>
            <w:r w:rsidR="00D3747D">
              <w:t>waga u</w:t>
            </w:r>
            <w:r>
              <w:t>względnion</w:t>
            </w:r>
            <w:r w:rsidR="00D3747D">
              <w:t>a</w:t>
            </w:r>
            <w:r w:rsidR="00686752">
              <w:t>.</w:t>
            </w:r>
          </w:p>
        </w:tc>
      </w:tr>
      <w:tr w:rsidR="00FF53CA" w14:paraId="3153D112" w14:textId="77777777" w:rsidTr="00681E52">
        <w:tc>
          <w:tcPr>
            <w:tcW w:w="768" w:type="dxa"/>
            <w:vAlign w:val="center"/>
          </w:tcPr>
          <w:p w14:paraId="2340B632" w14:textId="77777777" w:rsidR="00FF53CA" w:rsidRDefault="00FF53CA" w:rsidP="00971FA8">
            <w:pPr>
              <w:pStyle w:val="Akapitzlist"/>
              <w:numPr>
                <w:ilvl w:val="0"/>
                <w:numId w:val="1"/>
              </w:numPr>
            </w:pPr>
          </w:p>
        </w:tc>
        <w:tc>
          <w:tcPr>
            <w:tcW w:w="2200" w:type="dxa"/>
          </w:tcPr>
          <w:p w14:paraId="049A55DD" w14:textId="77777777" w:rsidR="00FF53CA" w:rsidRDefault="00C7370A" w:rsidP="00971FA8">
            <w:r>
              <w:t>Polska Akademia Nauk</w:t>
            </w:r>
          </w:p>
        </w:tc>
        <w:tc>
          <w:tcPr>
            <w:tcW w:w="2686" w:type="dxa"/>
          </w:tcPr>
          <w:p w14:paraId="2FDCAD84" w14:textId="77777777" w:rsidR="00FF53CA" w:rsidRDefault="00C7370A" w:rsidP="00971FA8">
            <w:r>
              <w:t>s. 15</w:t>
            </w:r>
          </w:p>
        </w:tc>
        <w:tc>
          <w:tcPr>
            <w:tcW w:w="4737" w:type="dxa"/>
          </w:tcPr>
          <w:p w14:paraId="3FF97D91" w14:textId="77777777" w:rsidR="00C7370A" w:rsidRPr="00C7370A" w:rsidRDefault="00C7370A" w:rsidP="00971FA8">
            <w:pPr>
              <w:spacing w:before="108"/>
              <w:ind w:right="144"/>
              <w:rPr>
                <w:rFonts w:cstheme="minorHAnsi"/>
                <w:color w:val="000000"/>
                <w:spacing w:val="4"/>
              </w:rPr>
            </w:pPr>
            <w:r w:rsidRPr="00C7370A">
              <w:rPr>
                <w:rFonts w:cstheme="minorHAnsi"/>
                <w:color w:val="000000"/>
                <w:spacing w:val="4"/>
              </w:rPr>
              <w:t xml:space="preserve">„Zmiana modeli operacyjnych i biznesowych podmiotów gospodarczych zachodzi nie tylko w </w:t>
            </w:r>
            <w:r w:rsidRPr="00C7370A">
              <w:rPr>
                <w:rFonts w:cstheme="minorHAnsi"/>
                <w:color w:val="000000"/>
                <w:spacing w:val="3"/>
              </w:rPr>
              <w:t>sektorze IT, lecz również w sektorach dotąd uważanych za tradycyjne</w:t>
            </w:r>
            <w:r w:rsidRPr="00527DAD">
              <w:rPr>
                <w:rFonts w:cstheme="minorHAnsi"/>
                <w:color w:val="000000" w:themeColor="text1"/>
                <w:spacing w:val="3"/>
              </w:rPr>
              <w:t xml:space="preserve">. Zarządzanie procesami biznesowymi z wykorzystaniem systemów informatycznych już jest podstawą zarządzania w zasadzie </w:t>
            </w:r>
            <w:r w:rsidRPr="00527DAD">
              <w:rPr>
                <w:rFonts w:cstheme="minorHAnsi"/>
                <w:color w:val="000000" w:themeColor="text1"/>
                <w:spacing w:val="1"/>
              </w:rPr>
              <w:t xml:space="preserve">we wszystkich działach gospodarki. </w:t>
            </w:r>
            <w:r w:rsidRPr="00C7370A">
              <w:rPr>
                <w:rFonts w:cstheme="minorHAnsi"/>
                <w:color w:val="000000"/>
                <w:spacing w:val="1"/>
              </w:rPr>
              <w:t xml:space="preserve">W przemyśle i rolnictwie zastosowanie stosunkowo prostych </w:t>
            </w:r>
            <w:r w:rsidRPr="00C7370A">
              <w:rPr>
                <w:rFonts w:cstheme="minorHAnsi"/>
                <w:color w:val="000000"/>
                <w:spacing w:val="4"/>
              </w:rPr>
              <w:t xml:space="preserve">algorytmów do efektywnego przetwarzania danych pozwala na wdrażanie „inteligentnej </w:t>
            </w:r>
            <w:r w:rsidRPr="00C7370A">
              <w:rPr>
                <w:rFonts w:cstheme="minorHAnsi"/>
                <w:color w:val="000000"/>
              </w:rPr>
              <w:t>automatyzacji".</w:t>
            </w:r>
          </w:p>
          <w:p w14:paraId="6152EAA2" w14:textId="77777777" w:rsidR="00FF53CA" w:rsidRDefault="00FF53CA" w:rsidP="00971FA8"/>
        </w:tc>
        <w:tc>
          <w:tcPr>
            <w:tcW w:w="3638" w:type="dxa"/>
          </w:tcPr>
          <w:p w14:paraId="45002337" w14:textId="6ACAB1D6" w:rsidR="00FF53CA" w:rsidRDefault="00F106CF" w:rsidP="00971FA8">
            <w:r>
              <w:t>U</w:t>
            </w:r>
            <w:r w:rsidR="00D3747D">
              <w:t>waga u</w:t>
            </w:r>
            <w:r>
              <w:t>względnion</w:t>
            </w:r>
            <w:r w:rsidR="00D3747D">
              <w:t>a</w:t>
            </w:r>
            <w:r w:rsidR="00686752">
              <w:t>.</w:t>
            </w:r>
          </w:p>
        </w:tc>
      </w:tr>
      <w:tr w:rsidR="00FF53CA" w14:paraId="05756660" w14:textId="77777777" w:rsidTr="00681E52">
        <w:tc>
          <w:tcPr>
            <w:tcW w:w="768" w:type="dxa"/>
            <w:vAlign w:val="center"/>
          </w:tcPr>
          <w:p w14:paraId="77885C14" w14:textId="77777777" w:rsidR="00FF53CA" w:rsidRDefault="00FF53CA" w:rsidP="00971FA8">
            <w:pPr>
              <w:pStyle w:val="Akapitzlist"/>
              <w:numPr>
                <w:ilvl w:val="0"/>
                <w:numId w:val="1"/>
              </w:numPr>
            </w:pPr>
          </w:p>
        </w:tc>
        <w:tc>
          <w:tcPr>
            <w:tcW w:w="2200" w:type="dxa"/>
          </w:tcPr>
          <w:p w14:paraId="4541627A" w14:textId="77777777" w:rsidR="00FF53CA" w:rsidRDefault="00C7370A" w:rsidP="00971FA8">
            <w:r>
              <w:t>Polska Akademia Nauk</w:t>
            </w:r>
          </w:p>
        </w:tc>
        <w:tc>
          <w:tcPr>
            <w:tcW w:w="2686" w:type="dxa"/>
          </w:tcPr>
          <w:p w14:paraId="786BBBDB" w14:textId="77777777" w:rsidR="00C7370A" w:rsidRPr="00C7370A" w:rsidRDefault="00C7370A" w:rsidP="00971FA8">
            <w:r w:rsidRPr="00C7370A">
              <w:t>Str. 81 Działanie 111.1.4. Rozwój zastosowań technologii cyfrowych w podmiotach systemu nauki i szkolnictwa wyższego</w:t>
            </w:r>
          </w:p>
          <w:p w14:paraId="5812C315" w14:textId="77777777" w:rsidR="00FF53CA" w:rsidRDefault="00FF53CA" w:rsidP="00971FA8"/>
        </w:tc>
        <w:tc>
          <w:tcPr>
            <w:tcW w:w="4737" w:type="dxa"/>
          </w:tcPr>
          <w:p w14:paraId="62D2E6A7" w14:textId="77777777" w:rsidR="00C7370A" w:rsidRPr="00527DAD" w:rsidRDefault="00C7370A" w:rsidP="00971FA8">
            <w:pPr>
              <w:spacing w:before="108"/>
              <w:rPr>
                <w:rFonts w:cstheme="minorHAnsi"/>
                <w:color w:val="000000" w:themeColor="text1"/>
                <w:spacing w:val="-2"/>
              </w:rPr>
            </w:pPr>
            <w:r w:rsidRPr="00C7370A">
              <w:rPr>
                <w:rFonts w:cstheme="minorHAnsi"/>
                <w:color w:val="000000"/>
                <w:spacing w:val="-2"/>
              </w:rPr>
              <w:t xml:space="preserve">„W związku ze specyfiką pracy w podmiotach systemu nauki i szkolnictwa wyższego konieczne jest </w:t>
            </w:r>
            <w:r w:rsidRPr="00C7370A">
              <w:rPr>
                <w:rFonts w:cstheme="minorHAnsi"/>
                <w:color w:val="000000"/>
                <w:spacing w:val="-4"/>
              </w:rPr>
              <w:t xml:space="preserve">specjalistyczne przygotowanie pracowników </w:t>
            </w:r>
            <w:r w:rsidRPr="00527DAD">
              <w:rPr>
                <w:rFonts w:cstheme="minorHAnsi"/>
                <w:color w:val="000000" w:themeColor="text1"/>
                <w:spacing w:val="-4"/>
              </w:rPr>
              <w:t xml:space="preserve">administracyjnych oraz technicznych ww. podmiotów do </w:t>
            </w:r>
            <w:r w:rsidRPr="00527DAD">
              <w:rPr>
                <w:rFonts w:cstheme="minorHAnsi"/>
                <w:color w:val="000000" w:themeColor="text1"/>
                <w:spacing w:val="6"/>
              </w:rPr>
              <w:t xml:space="preserve">zrozumienia wiedzy przekazywanej w modelach procesów biznesowych, obsługi inteligentnych </w:t>
            </w:r>
            <w:r w:rsidRPr="00527DAD">
              <w:rPr>
                <w:rFonts w:cstheme="minorHAnsi"/>
                <w:color w:val="000000" w:themeColor="text1"/>
              </w:rPr>
              <w:t>systemów zarządzania procesami, a tym samym podnoszenie ich kompetencji cyfrowych.</w:t>
            </w:r>
          </w:p>
          <w:p w14:paraId="4FE76F55" w14:textId="77777777" w:rsidR="00C7370A" w:rsidRPr="00C7370A" w:rsidRDefault="00C7370A" w:rsidP="00971FA8">
            <w:pPr>
              <w:spacing w:before="72"/>
              <w:ind w:right="216"/>
              <w:rPr>
                <w:rFonts w:cstheme="minorHAnsi"/>
                <w:color w:val="000000"/>
                <w:spacing w:val="1"/>
              </w:rPr>
            </w:pPr>
            <w:r w:rsidRPr="00527DAD">
              <w:rPr>
                <w:rFonts w:cstheme="minorHAnsi"/>
                <w:color w:val="000000" w:themeColor="text1"/>
                <w:spacing w:val="1"/>
              </w:rPr>
              <w:t xml:space="preserve">W szczególności wsparcie będzie dotyczyło podnoszenia umiejętności w zakresie obsługi systemów </w:t>
            </w:r>
            <w:r w:rsidRPr="00527DAD">
              <w:rPr>
                <w:rFonts w:cstheme="minorHAnsi"/>
                <w:color w:val="000000" w:themeColor="text1"/>
                <w:spacing w:val="5"/>
              </w:rPr>
              <w:t>do modelowania procesów biznesowych (</w:t>
            </w:r>
            <w:proofErr w:type="spellStart"/>
            <w:r w:rsidRPr="00527DAD">
              <w:rPr>
                <w:rFonts w:cstheme="minorHAnsi"/>
                <w:color w:val="000000" w:themeColor="text1"/>
                <w:spacing w:val="5"/>
              </w:rPr>
              <w:t>workflowów</w:t>
            </w:r>
            <w:proofErr w:type="spellEnd"/>
            <w:r w:rsidRPr="00527DAD">
              <w:rPr>
                <w:rFonts w:cstheme="minorHAnsi"/>
                <w:color w:val="000000" w:themeColor="text1"/>
                <w:spacing w:val="5"/>
              </w:rPr>
              <w:t xml:space="preserve">), elektronicznego obiegu dokumentów, </w:t>
            </w:r>
            <w:r w:rsidRPr="00527DAD">
              <w:rPr>
                <w:rFonts w:cstheme="minorHAnsi"/>
                <w:color w:val="000000" w:themeColor="text1"/>
                <w:spacing w:val="4"/>
              </w:rPr>
              <w:t xml:space="preserve">systemów do obsługi studentów, systemów do składania </w:t>
            </w:r>
            <w:r w:rsidRPr="00C7370A">
              <w:rPr>
                <w:rFonts w:cstheme="minorHAnsi"/>
                <w:color w:val="000000"/>
                <w:spacing w:val="4"/>
              </w:rPr>
              <w:t xml:space="preserve">wniosków projektowych oraz </w:t>
            </w:r>
            <w:r w:rsidRPr="00C7370A">
              <w:rPr>
                <w:rFonts w:cstheme="minorHAnsi"/>
                <w:color w:val="000000"/>
              </w:rPr>
              <w:t xml:space="preserve">oprogramowania </w:t>
            </w:r>
            <w:r w:rsidRPr="00C7370A">
              <w:rPr>
                <w:rFonts w:cstheme="minorHAnsi"/>
                <w:color w:val="000000"/>
              </w:rPr>
              <w:lastRenderedPageBreak/>
              <w:t>niezbędnego do wydajnego funkcjonowania podmiotów."</w:t>
            </w:r>
          </w:p>
          <w:p w14:paraId="7CA6E179" w14:textId="77777777" w:rsidR="00FF53CA" w:rsidRDefault="00FF53CA" w:rsidP="00971FA8"/>
        </w:tc>
        <w:tc>
          <w:tcPr>
            <w:tcW w:w="3638" w:type="dxa"/>
          </w:tcPr>
          <w:p w14:paraId="4DE44F57" w14:textId="77777777" w:rsidR="00D3747D" w:rsidRDefault="00D3747D" w:rsidP="00971FA8">
            <w:r>
              <w:lastRenderedPageBreak/>
              <w:t>Uwaga nie</w:t>
            </w:r>
            <w:r w:rsidR="000C4183">
              <w:t>u</w:t>
            </w:r>
            <w:r w:rsidR="00F106CF">
              <w:t>względnion</w:t>
            </w:r>
            <w:r>
              <w:t>a</w:t>
            </w:r>
            <w:r w:rsidR="000C4183">
              <w:t>.</w:t>
            </w:r>
          </w:p>
          <w:p w14:paraId="2924D7BE" w14:textId="4AC4A0EF" w:rsidR="00FF53CA" w:rsidRDefault="000C4183" w:rsidP="00971FA8">
            <w:r>
              <w:t xml:space="preserve">Działanie jest skierowane do </w:t>
            </w:r>
            <w:r w:rsidRPr="00E603CF">
              <w:rPr>
                <w:rFonts w:eastAsia="Times New Roman" w:cs="Calibri"/>
              </w:rPr>
              <w:t>pracowników administracyjnych oraz technicznych</w:t>
            </w:r>
            <w:r>
              <w:rPr>
                <w:rFonts w:eastAsia="Times New Roman" w:cs="Calibri"/>
              </w:rPr>
              <w:t xml:space="preserve">, którzy powinni raczej mieć umiejętności obsługi procesów biznesowych niż wykazywać </w:t>
            </w:r>
            <w:r w:rsidRPr="000C4183">
              <w:rPr>
                <w:rFonts w:eastAsia="Times New Roman" w:cs="Calibri"/>
              </w:rPr>
              <w:t>zrozumienie wiedzy przekazywanej w modelach procesów biznesowych</w:t>
            </w:r>
            <w:r w:rsidR="00304140">
              <w:rPr>
                <w:rFonts w:eastAsia="Times New Roman" w:cs="Calibri"/>
              </w:rPr>
              <w:t>.</w:t>
            </w:r>
          </w:p>
        </w:tc>
      </w:tr>
      <w:tr w:rsidR="00C7370A" w14:paraId="622290A1" w14:textId="77777777" w:rsidTr="00681E52">
        <w:tc>
          <w:tcPr>
            <w:tcW w:w="768" w:type="dxa"/>
            <w:vAlign w:val="center"/>
          </w:tcPr>
          <w:p w14:paraId="03E515E5" w14:textId="77777777" w:rsidR="00C7370A" w:rsidRDefault="00C7370A" w:rsidP="00971FA8">
            <w:pPr>
              <w:pStyle w:val="Akapitzlist"/>
              <w:numPr>
                <w:ilvl w:val="0"/>
                <w:numId w:val="1"/>
              </w:numPr>
            </w:pPr>
          </w:p>
        </w:tc>
        <w:tc>
          <w:tcPr>
            <w:tcW w:w="2200" w:type="dxa"/>
          </w:tcPr>
          <w:p w14:paraId="06859B55" w14:textId="77777777" w:rsidR="00C7370A" w:rsidRDefault="00C7370A" w:rsidP="00971FA8">
            <w:r>
              <w:t>Polska Akademia Nauk</w:t>
            </w:r>
          </w:p>
        </w:tc>
        <w:tc>
          <w:tcPr>
            <w:tcW w:w="2686" w:type="dxa"/>
          </w:tcPr>
          <w:p w14:paraId="4EA4B4A4" w14:textId="7E77655B" w:rsidR="00C7370A" w:rsidRDefault="00457570" w:rsidP="00971FA8">
            <w:r>
              <w:t>Str. 83 Działanie III</w:t>
            </w:r>
            <w:r w:rsidR="00C7370A" w:rsidRPr="00C7370A">
              <w:t>.1.6. Kompetencje przyszłości w przemyśle 4.0</w:t>
            </w:r>
          </w:p>
        </w:tc>
        <w:tc>
          <w:tcPr>
            <w:tcW w:w="4737" w:type="dxa"/>
          </w:tcPr>
          <w:p w14:paraId="1FB2CA3A" w14:textId="77777777" w:rsidR="00C7370A" w:rsidRPr="00C7370A" w:rsidRDefault="00C7370A" w:rsidP="00971FA8">
            <w:pPr>
              <w:spacing w:before="108"/>
              <w:rPr>
                <w:rFonts w:cstheme="minorHAnsi"/>
                <w:color w:val="000000"/>
              </w:rPr>
            </w:pPr>
            <w:r w:rsidRPr="00C7370A">
              <w:rPr>
                <w:rFonts w:cstheme="minorHAnsi"/>
                <w:color w:val="000000"/>
              </w:rPr>
              <w:t>„Planowane są różnorodne działania skierowane do różnych grup pracowników.</w:t>
            </w:r>
          </w:p>
          <w:p w14:paraId="2904D3F6" w14:textId="77777777" w:rsidR="00C7370A" w:rsidRPr="00C7370A" w:rsidRDefault="00C7370A" w:rsidP="00971FA8">
            <w:pPr>
              <w:spacing w:before="108"/>
              <w:ind w:right="144"/>
              <w:rPr>
                <w:rFonts w:cstheme="minorHAnsi"/>
                <w:color w:val="000000"/>
                <w:spacing w:val="-1"/>
              </w:rPr>
            </w:pPr>
            <w:r w:rsidRPr="00C7370A">
              <w:rPr>
                <w:rFonts w:cstheme="minorHAnsi"/>
                <w:color w:val="000000"/>
                <w:spacing w:val="-1"/>
              </w:rPr>
              <w:t xml:space="preserve">W celu rozwoju kompetencji cyfrowych wśród pracowników organizacji, planuje się wykorzystanie modułu Transformacje, dostępnego w Platformie Cyfrowej Przemysłu Przyszłości. Organizacje będą </w:t>
            </w:r>
            <w:r w:rsidRPr="00C7370A">
              <w:rPr>
                <w:rFonts w:cstheme="minorHAnsi"/>
                <w:color w:val="000000"/>
                <w:spacing w:val="3"/>
              </w:rPr>
              <w:t xml:space="preserve">mogły skorzystać z </w:t>
            </w:r>
            <w:r w:rsidRPr="00527DAD">
              <w:rPr>
                <w:rFonts w:cstheme="minorHAnsi"/>
                <w:color w:val="000000" w:themeColor="text1"/>
                <w:spacing w:val="3"/>
              </w:rPr>
              <w:t xml:space="preserve">następujących kategorii transformacji: modelowanie w BPMN i zarządzanie </w:t>
            </w:r>
            <w:r w:rsidRPr="00527DAD">
              <w:rPr>
                <w:rFonts w:cstheme="minorHAnsi"/>
                <w:color w:val="000000" w:themeColor="text1"/>
              </w:rPr>
              <w:t>procesami biznesowymi, cyfrowy model biznesowy, cyfryzacja procesów inżynierskich</w:t>
            </w:r>
            <w:r w:rsidRPr="00C7370A">
              <w:rPr>
                <w:rFonts w:cstheme="minorHAnsi"/>
                <w:color w:val="000000"/>
              </w:rPr>
              <w:t xml:space="preserve">, cyfryzacja </w:t>
            </w:r>
            <w:r w:rsidRPr="00C7370A">
              <w:rPr>
                <w:rFonts w:cstheme="minorHAnsi"/>
                <w:color w:val="000000"/>
                <w:spacing w:val="-4"/>
              </w:rPr>
              <w:t xml:space="preserve">procesów organizacyjnych i biznesowych, GOZ i zrównoważona produkcja, inteligentne rozwiązania </w:t>
            </w:r>
            <w:r w:rsidRPr="00C7370A">
              <w:rPr>
                <w:rFonts w:cstheme="minorHAnsi"/>
                <w:color w:val="000000"/>
                <w:spacing w:val="3"/>
              </w:rPr>
              <w:t xml:space="preserve">produkcyjne, kompetencje poznawcze i społeczne, kompetencje techniczne, odnawialne źródła </w:t>
            </w:r>
            <w:r w:rsidRPr="00C7370A">
              <w:rPr>
                <w:rFonts w:cstheme="minorHAnsi"/>
                <w:color w:val="000000"/>
              </w:rPr>
              <w:t>energii, zaawansowane technologie, zarządzanie i optymalizacja produkcji.</w:t>
            </w:r>
          </w:p>
          <w:p w14:paraId="39444362" w14:textId="77777777" w:rsidR="00C7370A" w:rsidRDefault="00C7370A" w:rsidP="00971FA8"/>
        </w:tc>
        <w:tc>
          <w:tcPr>
            <w:tcW w:w="3638" w:type="dxa"/>
          </w:tcPr>
          <w:p w14:paraId="0AD9D73A" w14:textId="05763FC6" w:rsidR="00C7370A" w:rsidRDefault="00D3747D" w:rsidP="00971FA8">
            <w:r>
              <w:t>Uwaga nieuwzględniona</w:t>
            </w:r>
            <w:r w:rsidR="00304140">
              <w:t>.</w:t>
            </w:r>
            <w:r w:rsidR="00457570">
              <w:t xml:space="preserve"> Intencją PRKC nie jest wskazywanie danej notacja </w:t>
            </w:r>
            <w:r w:rsidR="00457570" w:rsidRPr="00457570">
              <w:t>model</w:t>
            </w:r>
            <w:r w:rsidR="00457570">
              <w:t>u</w:t>
            </w:r>
            <w:r w:rsidR="00457570" w:rsidRPr="00457570">
              <w:t xml:space="preserve"> procesu biznesowego</w:t>
            </w:r>
            <w:r w:rsidR="00457570">
              <w:t>.</w:t>
            </w:r>
          </w:p>
        </w:tc>
      </w:tr>
      <w:tr w:rsidR="00C7370A" w14:paraId="1816DA5C" w14:textId="77777777" w:rsidTr="00681E52">
        <w:tc>
          <w:tcPr>
            <w:tcW w:w="768" w:type="dxa"/>
            <w:vAlign w:val="center"/>
          </w:tcPr>
          <w:p w14:paraId="6313520B" w14:textId="77777777" w:rsidR="00C7370A" w:rsidRDefault="00C7370A" w:rsidP="00971FA8">
            <w:pPr>
              <w:pStyle w:val="Akapitzlist"/>
              <w:numPr>
                <w:ilvl w:val="0"/>
                <w:numId w:val="1"/>
              </w:numPr>
            </w:pPr>
          </w:p>
        </w:tc>
        <w:tc>
          <w:tcPr>
            <w:tcW w:w="2200" w:type="dxa"/>
          </w:tcPr>
          <w:p w14:paraId="773F5CDD" w14:textId="77777777" w:rsidR="00C7370A" w:rsidRDefault="00C7370A" w:rsidP="00971FA8">
            <w:r>
              <w:t>Polska Akademia Nauk</w:t>
            </w:r>
          </w:p>
        </w:tc>
        <w:tc>
          <w:tcPr>
            <w:tcW w:w="2686" w:type="dxa"/>
          </w:tcPr>
          <w:p w14:paraId="54DA8790" w14:textId="77777777" w:rsidR="00C7370A" w:rsidRDefault="00C7370A" w:rsidP="00971FA8">
            <w:r w:rsidRPr="00C7370A">
              <w:t>Str. 85 111.2. Osoby zarządzające, przedsiębiorcy</w:t>
            </w:r>
          </w:p>
        </w:tc>
        <w:tc>
          <w:tcPr>
            <w:tcW w:w="4737" w:type="dxa"/>
          </w:tcPr>
          <w:p w14:paraId="5E8F9420" w14:textId="77777777" w:rsidR="00C7370A" w:rsidRPr="00C7370A" w:rsidRDefault="00C7370A" w:rsidP="00971FA8">
            <w:pPr>
              <w:spacing w:before="108"/>
              <w:ind w:left="72"/>
              <w:rPr>
                <w:rFonts w:cstheme="minorHAnsi"/>
                <w:color w:val="000000"/>
                <w:spacing w:val="-2"/>
              </w:rPr>
            </w:pPr>
            <w:r w:rsidRPr="00C7370A">
              <w:rPr>
                <w:rFonts w:cstheme="minorHAnsi"/>
                <w:color w:val="000000"/>
                <w:spacing w:val="-2"/>
              </w:rPr>
              <w:t xml:space="preserve">Kompetencje cyfrowe są niezbędne osobom na stanowiskach kierowniczych, które muszą kierować </w:t>
            </w:r>
            <w:r w:rsidRPr="00C7370A">
              <w:rPr>
                <w:rFonts w:cstheme="minorHAnsi"/>
                <w:color w:val="000000"/>
                <w:spacing w:val="-3"/>
              </w:rPr>
              <w:t xml:space="preserve">wdrażaniem cyfrowej transformacji. </w:t>
            </w:r>
            <w:r w:rsidRPr="00527DAD">
              <w:rPr>
                <w:rFonts w:cstheme="minorHAnsi"/>
                <w:color w:val="000000" w:themeColor="text1"/>
                <w:spacing w:val="-3"/>
              </w:rPr>
              <w:t xml:space="preserve">Wielu firmom pandemia uświadomiła, jak ważne jest zarządzanie </w:t>
            </w:r>
            <w:r w:rsidRPr="00527DAD">
              <w:rPr>
                <w:rFonts w:cstheme="minorHAnsi"/>
                <w:color w:val="000000" w:themeColor="text1"/>
                <w:spacing w:val="3"/>
              </w:rPr>
              <w:t xml:space="preserve">procesowe, w tym modelowanie procesów </w:t>
            </w:r>
            <w:r w:rsidR="00AF4966" w:rsidRPr="00527DAD">
              <w:rPr>
                <w:rFonts w:cstheme="minorHAnsi"/>
                <w:color w:val="000000" w:themeColor="text1"/>
                <w:spacing w:val="3"/>
              </w:rPr>
              <w:t>i oparta na nim</w:t>
            </w:r>
            <w:r w:rsidRPr="00527DAD">
              <w:rPr>
                <w:rFonts w:cstheme="minorHAnsi"/>
                <w:color w:val="000000" w:themeColor="text1"/>
                <w:spacing w:val="3"/>
              </w:rPr>
              <w:t xml:space="preserve"> cyfryzacja procesów wewnętrznych, </w:t>
            </w:r>
            <w:r w:rsidRPr="00527DAD">
              <w:rPr>
                <w:rFonts w:cstheme="minorHAnsi"/>
                <w:color w:val="000000" w:themeColor="text1"/>
                <w:spacing w:val="4"/>
              </w:rPr>
              <w:t xml:space="preserve">ale i rozwój zdalnych kanałów komunikacji i sprzedaży. </w:t>
            </w:r>
            <w:r w:rsidRPr="00C7370A">
              <w:rPr>
                <w:rFonts w:cstheme="minorHAnsi"/>
                <w:color w:val="000000"/>
                <w:spacing w:val="4"/>
              </w:rPr>
              <w:t xml:space="preserve">Niektóre przedsiębiorstwa całkowicie </w:t>
            </w:r>
            <w:r w:rsidRPr="00C7370A">
              <w:rPr>
                <w:rFonts w:cstheme="minorHAnsi"/>
                <w:color w:val="000000"/>
              </w:rPr>
              <w:t xml:space="preserve">zmieniły profil działalności, wdrażając cyfrowe rozwiązania. Tym </w:t>
            </w:r>
            <w:r w:rsidRPr="00C7370A">
              <w:rPr>
                <w:rFonts w:cstheme="minorHAnsi"/>
                <w:color w:val="000000"/>
              </w:rPr>
              <w:lastRenderedPageBreak/>
              <w:t>samym kompetencje cyfrowe menedżerów są również istotne dla utrzymywania pozycji polskich przedsiębiorstw w globalnych łańcuchach dostaw.</w:t>
            </w:r>
          </w:p>
          <w:p w14:paraId="45327048" w14:textId="77777777" w:rsidR="00C7370A" w:rsidRDefault="00C7370A" w:rsidP="00971FA8"/>
        </w:tc>
        <w:tc>
          <w:tcPr>
            <w:tcW w:w="3638" w:type="dxa"/>
          </w:tcPr>
          <w:p w14:paraId="3B0A6022" w14:textId="7D15417F" w:rsidR="00C7370A" w:rsidRDefault="00F106CF" w:rsidP="00971FA8">
            <w:r>
              <w:lastRenderedPageBreak/>
              <w:t>U</w:t>
            </w:r>
            <w:r w:rsidR="00F158C9">
              <w:t>waga u</w:t>
            </w:r>
            <w:r>
              <w:t>względnion</w:t>
            </w:r>
            <w:r w:rsidR="00F158C9">
              <w:t>a</w:t>
            </w:r>
            <w:r w:rsidR="00686752">
              <w:t>.</w:t>
            </w:r>
          </w:p>
        </w:tc>
      </w:tr>
      <w:tr w:rsidR="005834FB" w14:paraId="45D92B0B" w14:textId="77777777" w:rsidTr="00681E52">
        <w:tc>
          <w:tcPr>
            <w:tcW w:w="768" w:type="dxa"/>
            <w:vAlign w:val="center"/>
          </w:tcPr>
          <w:p w14:paraId="3FC3C560" w14:textId="77777777" w:rsidR="005834FB" w:rsidRDefault="005834FB" w:rsidP="00971FA8">
            <w:pPr>
              <w:pStyle w:val="Akapitzlist"/>
              <w:numPr>
                <w:ilvl w:val="0"/>
                <w:numId w:val="1"/>
              </w:numPr>
            </w:pPr>
          </w:p>
        </w:tc>
        <w:tc>
          <w:tcPr>
            <w:tcW w:w="2200" w:type="dxa"/>
          </w:tcPr>
          <w:p w14:paraId="5477D86E" w14:textId="77777777" w:rsidR="005834FB" w:rsidRDefault="00C7370A" w:rsidP="00971FA8">
            <w:r>
              <w:t>Polska Akademia Nauk</w:t>
            </w:r>
          </w:p>
        </w:tc>
        <w:tc>
          <w:tcPr>
            <w:tcW w:w="2686" w:type="dxa"/>
          </w:tcPr>
          <w:p w14:paraId="14B6C4A9" w14:textId="77777777" w:rsidR="005834FB" w:rsidRDefault="00C7370A" w:rsidP="00971FA8">
            <w:r>
              <w:t>Cele szczegółowe</w:t>
            </w:r>
          </w:p>
        </w:tc>
        <w:tc>
          <w:tcPr>
            <w:tcW w:w="4737" w:type="dxa"/>
          </w:tcPr>
          <w:p w14:paraId="42A352EC" w14:textId="77777777" w:rsidR="00C7370A" w:rsidRPr="00527DAD" w:rsidRDefault="00C7370A" w:rsidP="00971FA8">
            <w:pPr>
              <w:spacing w:before="72"/>
              <w:ind w:right="504"/>
              <w:rPr>
                <w:rFonts w:cstheme="minorHAnsi"/>
                <w:color w:val="000000" w:themeColor="text1"/>
              </w:rPr>
            </w:pPr>
            <w:r w:rsidRPr="00C7370A">
              <w:rPr>
                <w:rFonts w:cstheme="minorHAnsi"/>
                <w:color w:val="000000"/>
              </w:rPr>
              <w:t xml:space="preserve">1. </w:t>
            </w:r>
            <w:r w:rsidRPr="00933C5B">
              <w:rPr>
                <w:rFonts w:cstheme="minorHAnsi"/>
                <w:color w:val="000000"/>
              </w:rPr>
              <w:t xml:space="preserve">Rozpowszechnienie wśród kadry zarządzającej wiedzy na temat korzyści i </w:t>
            </w:r>
            <w:r w:rsidRPr="00527DAD">
              <w:rPr>
                <w:rFonts w:cstheme="minorHAnsi"/>
                <w:color w:val="000000" w:themeColor="text1"/>
              </w:rPr>
              <w:t xml:space="preserve">sposobów przeprowadzania przygotowania i wdrożeń zarządzania procesowego oraz transformacji cyfrowej </w:t>
            </w:r>
            <w:r w:rsidRPr="00527DAD">
              <w:rPr>
                <w:rFonts w:cstheme="minorHAnsi"/>
                <w:color w:val="000000" w:themeColor="text1"/>
                <w:spacing w:val="4"/>
              </w:rPr>
              <w:t>opartej na wypracowanym w nich modelach procesów.</w:t>
            </w:r>
          </w:p>
          <w:p w14:paraId="0EB1052C" w14:textId="77777777" w:rsidR="005834FB" w:rsidRDefault="005834FB" w:rsidP="00971FA8"/>
        </w:tc>
        <w:tc>
          <w:tcPr>
            <w:tcW w:w="3638" w:type="dxa"/>
          </w:tcPr>
          <w:p w14:paraId="38202FDE" w14:textId="337E8E90" w:rsidR="005834FB" w:rsidRDefault="00AF4966" w:rsidP="00971FA8">
            <w:r>
              <w:t>U</w:t>
            </w:r>
            <w:r w:rsidR="00E047E0">
              <w:t>w</w:t>
            </w:r>
            <w:r w:rsidR="00F158C9">
              <w:t>aga uw</w:t>
            </w:r>
            <w:r w:rsidR="00E047E0">
              <w:t>zględnion</w:t>
            </w:r>
            <w:r w:rsidR="00F158C9">
              <w:t>a</w:t>
            </w:r>
            <w:r w:rsidR="00686752">
              <w:t>.</w:t>
            </w:r>
          </w:p>
        </w:tc>
      </w:tr>
      <w:tr w:rsidR="00FB1835" w14:paraId="158C0209" w14:textId="77777777" w:rsidTr="00681E52">
        <w:tc>
          <w:tcPr>
            <w:tcW w:w="768" w:type="dxa"/>
            <w:vAlign w:val="center"/>
          </w:tcPr>
          <w:p w14:paraId="37552534" w14:textId="77777777" w:rsidR="00FB1835" w:rsidRDefault="00FB1835" w:rsidP="00971FA8">
            <w:pPr>
              <w:pStyle w:val="Akapitzlist"/>
              <w:numPr>
                <w:ilvl w:val="0"/>
                <w:numId w:val="1"/>
              </w:numPr>
            </w:pPr>
          </w:p>
        </w:tc>
        <w:tc>
          <w:tcPr>
            <w:tcW w:w="2200" w:type="dxa"/>
          </w:tcPr>
          <w:p w14:paraId="58811E6C" w14:textId="77777777" w:rsidR="00FB1835" w:rsidRDefault="00107B21" w:rsidP="00971FA8">
            <w:r w:rsidRPr="00107B21">
              <w:t>Urząd Marszałkowski Województwa Śląskiego</w:t>
            </w:r>
          </w:p>
        </w:tc>
        <w:tc>
          <w:tcPr>
            <w:tcW w:w="2686" w:type="dxa"/>
          </w:tcPr>
          <w:p w14:paraId="6C78E99A" w14:textId="77777777" w:rsidR="00FB1835" w:rsidRDefault="00107B21" w:rsidP="00971FA8">
            <w:r w:rsidRPr="00107B21">
              <w:t>Str. 18 (wykres 3)</w:t>
            </w:r>
          </w:p>
        </w:tc>
        <w:tc>
          <w:tcPr>
            <w:tcW w:w="4737" w:type="dxa"/>
          </w:tcPr>
          <w:p w14:paraId="75A6A703" w14:textId="77777777" w:rsidR="00FB1835" w:rsidRDefault="00107B21" w:rsidP="00971FA8">
            <w:pPr>
              <w:spacing w:before="72"/>
              <w:ind w:right="504"/>
              <w:rPr>
                <w:rFonts w:cstheme="minorHAnsi"/>
                <w:color w:val="000000"/>
              </w:rPr>
            </w:pPr>
            <w:r w:rsidRPr="00107B21">
              <w:rPr>
                <w:rFonts w:cstheme="minorHAnsi"/>
                <w:color w:val="000000"/>
              </w:rPr>
              <w:t>Metodologicznie poprawnie byłoby porównanie danych z ostatniego roku w którym dane są dostępne dla obu porównywanych kategorii – rok 2019</w:t>
            </w:r>
            <w:r>
              <w:rPr>
                <w:rFonts w:cstheme="minorHAnsi"/>
                <w:color w:val="000000"/>
              </w:rPr>
              <w:t>.</w:t>
            </w:r>
          </w:p>
          <w:p w14:paraId="156217DA" w14:textId="77777777" w:rsidR="00107B21" w:rsidRPr="00C7370A" w:rsidRDefault="00107B21" w:rsidP="00971FA8">
            <w:pPr>
              <w:spacing w:before="72"/>
              <w:ind w:right="504"/>
              <w:rPr>
                <w:rFonts w:cstheme="minorHAnsi"/>
                <w:color w:val="000000"/>
              </w:rPr>
            </w:pPr>
            <w:r>
              <w:rPr>
                <w:rFonts w:cstheme="minorHAnsi"/>
                <w:color w:val="000000"/>
              </w:rPr>
              <w:t xml:space="preserve">Uzasadnienie: </w:t>
            </w:r>
            <w:r w:rsidRPr="00107B21">
              <w:rPr>
                <w:rFonts w:cstheme="minorHAnsi"/>
                <w:color w:val="000000"/>
              </w:rPr>
              <w:t>Porównanie wymaga danych z jednego okresu czasowego.</w:t>
            </w:r>
          </w:p>
        </w:tc>
        <w:tc>
          <w:tcPr>
            <w:tcW w:w="3638" w:type="dxa"/>
          </w:tcPr>
          <w:p w14:paraId="6F39C01D" w14:textId="192FF3AC" w:rsidR="00FB1835" w:rsidRDefault="00107B21" w:rsidP="00971FA8">
            <w:r>
              <w:t>U</w:t>
            </w:r>
            <w:r w:rsidR="00F158C9">
              <w:t>waga u</w:t>
            </w:r>
            <w:r>
              <w:t>względnion</w:t>
            </w:r>
            <w:r w:rsidR="00F158C9">
              <w:t>a</w:t>
            </w:r>
            <w:r w:rsidR="00686752">
              <w:t>.</w:t>
            </w:r>
          </w:p>
        </w:tc>
      </w:tr>
      <w:tr w:rsidR="00FB1835" w14:paraId="2605BC15" w14:textId="77777777" w:rsidTr="00681E52">
        <w:tc>
          <w:tcPr>
            <w:tcW w:w="768" w:type="dxa"/>
            <w:vAlign w:val="center"/>
          </w:tcPr>
          <w:p w14:paraId="3736E385" w14:textId="77777777" w:rsidR="00FB1835" w:rsidRDefault="00FB1835" w:rsidP="00971FA8">
            <w:pPr>
              <w:pStyle w:val="Akapitzlist"/>
              <w:numPr>
                <w:ilvl w:val="0"/>
                <w:numId w:val="1"/>
              </w:numPr>
            </w:pPr>
          </w:p>
        </w:tc>
        <w:tc>
          <w:tcPr>
            <w:tcW w:w="2200" w:type="dxa"/>
          </w:tcPr>
          <w:p w14:paraId="4FC32D66" w14:textId="77777777" w:rsidR="00FB1835" w:rsidRDefault="00107B21" w:rsidP="00971FA8">
            <w:r w:rsidRPr="00107B21">
              <w:t>Urząd Marszałkowski Województwa Śląskiego</w:t>
            </w:r>
          </w:p>
        </w:tc>
        <w:tc>
          <w:tcPr>
            <w:tcW w:w="2686" w:type="dxa"/>
          </w:tcPr>
          <w:p w14:paraId="0DB171DB" w14:textId="77777777" w:rsidR="00FB1835" w:rsidRDefault="00107B21" w:rsidP="00971FA8">
            <w:r w:rsidRPr="00107B21">
              <w:t>Str. 21 (wykres 5 – tytuł)</w:t>
            </w:r>
          </w:p>
        </w:tc>
        <w:tc>
          <w:tcPr>
            <w:tcW w:w="4737" w:type="dxa"/>
          </w:tcPr>
          <w:p w14:paraId="6B69A331" w14:textId="77777777" w:rsidR="00FB1835" w:rsidRDefault="00107B21" w:rsidP="00971FA8">
            <w:pPr>
              <w:spacing w:before="72"/>
              <w:ind w:right="504"/>
              <w:rPr>
                <w:rFonts w:cstheme="minorHAnsi"/>
                <w:color w:val="000000"/>
              </w:rPr>
            </w:pPr>
            <w:r w:rsidRPr="00107B21">
              <w:rPr>
                <w:rFonts w:cstheme="minorHAnsi"/>
                <w:color w:val="000000"/>
              </w:rPr>
              <w:t>Należy poprawić opis wykresu „odsetki osób” na „odsetek osób” nigdy niekorzystających z Internetu w krajach UE w 2021 r.</w:t>
            </w:r>
          </w:p>
          <w:p w14:paraId="4EA67753" w14:textId="77777777" w:rsidR="00107B21" w:rsidRPr="00C7370A" w:rsidRDefault="00107B21" w:rsidP="00971FA8">
            <w:pPr>
              <w:spacing w:before="72"/>
              <w:ind w:right="504"/>
              <w:rPr>
                <w:rFonts w:cstheme="minorHAnsi"/>
                <w:color w:val="000000"/>
              </w:rPr>
            </w:pPr>
            <w:r>
              <w:rPr>
                <w:rFonts w:cstheme="minorHAnsi"/>
                <w:color w:val="000000"/>
              </w:rPr>
              <w:t xml:space="preserve">Uzasadnienie: </w:t>
            </w:r>
            <w:r w:rsidRPr="00107B21">
              <w:rPr>
                <w:rFonts w:cstheme="minorHAnsi"/>
                <w:color w:val="000000"/>
              </w:rPr>
              <w:t>Termin „odsetki” dotyczy raczej terminologii księgowej</w:t>
            </w:r>
          </w:p>
        </w:tc>
        <w:tc>
          <w:tcPr>
            <w:tcW w:w="3638" w:type="dxa"/>
          </w:tcPr>
          <w:p w14:paraId="633C93FA" w14:textId="5FA3BA4A" w:rsidR="00FB1835" w:rsidRDefault="00107B21" w:rsidP="00971FA8">
            <w:r>
              <w:t>U</w:t>
            </w:r>
            <w:r w:rsidR="00F158C9">
              <w:t>waga u</w:t>
            </w:r>
            <w:r>
              <w:t>względnion</w:t>
            </w:r>
            <w:r w:rsidR="00F158C9">
              <w:t>a</w:t>
            </w:r>
            <w:r w:rsidR="00686752">
              <w:t>.</w:t>
            </w:r>
          </w:p>
        </w:tc>
      </w:tr>
      <w:tr w:rsidR="00FB1835" w14:paraId="6E323FBB" w14:textId="77777777" w:rsidTr="00F158C9">
        <w:trPr>
          <w:trHeight w:val="2086"/>
        </w:trPr>
        <w:tc>
          <w:tcPr>
            <w:tcW w:w="768" w:type="dxa"/>
            <w:vAlign w:val="center"/>
          </w:tcPr>
          <w:p w14:paraId="450D3870" w14:textId="77777777" w:rsidR="00FB1835" w:rsidRDefault="00FB1835" w:rsidP="00971FA8">
            <w:pPr>
              <w:pStyle w:val="Akapitzlist"/>
              <w:numPr>
                <w:ilvl w:val="0"/>
                <w:numId w:val="1"/>
              </w:numPr>
            </w:pPr>
          </w:p>
        </w:tc>
        <w:tc>
          <w:tcPr>
            <w:tcW w:w="2200" w:type="dxa"/>
          </w:tcPr>
          <w:p w14:paraId="273AED1E" w14:textId="77777777" w:rsidR="00FB1835" w:rsidRDefault="00107B21" w:rsidP="00971FA8">
            <w:r w:rsidRPr="00107B21">
              <w:t>Urząd Marszałkowski Województwa Śląskiego</w:t>
            </w:r>
          </w:p>
        </w:tc>
        <w:tc>
          <w:tcPr>
            <w:tcW w:w="2686" w:type="dxa"/>
          </w:tcPr>
          <w:p w14:paraId="1AA755DE" w14:textId="77777777" w:rsidR="00FB1835" w:rsidRDefault="00107B21" w:rsidP="00971FA8">
            <w:r w:rsidRPr="00107B21">
              <w:t>Str. 22</w:t>
            </w:r>
          </w:p>
        </w:tc>
        <w:tc>
          <w:tcPr>
            <w:tcW w:w="4737" w:type="dxa"/>
          </w:tcPr>
          <w:p w14:paraId="2095E172" w14:textId="77777777" w:rsidR="00FB1835" w:rsidRDefault="00107B21" w:rsidP="00971FA8">
            <w:pPr>
              <w:spacing w:before="72"/>
              <w:ind w:right="504"/>
              <w:rPr>
                <w:rFonts w:cstheme="minorHAnsi"/>
                <w:color w:val="000000"/>
              </w:rPr>
            </w:pPr>
            <w:r w:rsidRPr="00107B21">
              <w:rPr>
                <w:rFonts w:cstheme="minorHAnsi"/>
                <w:color w:val="000000"/>
              </w:rPr>
              <w:t>Ujednolicenie terminu „osób o najniższych miesięcznych dochodach netto”</w:t>
            </w:r>
          </w:p>
          <w:p w14:paraId="30F683F1" w14:textId="77777777" w:rsidR="00107B21" w:rsidRPr="00C7370A" w:rsidRDefault="00107B21" w:rsidP="00971FA8">
            <w:pPr>
              <w:spacing w:before="72"/>
              <w:ind w:right="504"/>
              <w:rPr>
                <w:rFonts w:cstheme="minorHAnsi"/>
                <w:color w:val="000000"/>
              </w:rPr>
            </w:pPr>
            <w:r>
              <w:rPr>
                <w:rFonts w:cstheme="minorHAnsi"/>
                <w:color w:val="000000"/>
              </w:rPr>
              <w:t xml:space="preserve">Uzasadnienie: </w:t>
            </w:r>
            <w:r w:rsidR="00D90DDD" w:rsidRPr="00D90DDD">
              <w:rPr>
                <w:rFonts w:cstheme="minorHAnsi"/>
                <w:color w:val="000000"/>
              </w:rPr>
              <w:t xml:space="preserve">Kategoria osób o najniższych miesięcznych dochodach netto wymagałaby zdefiniowania / ujednolicenia, szczególnie że na tej samej stronie są dwie zupełnie </w:t>
            </w:r>
            <w:r w:rsidR="00D90DDD">
              <w:rPr>
                <w:rFonts w:cstheme="minorHAnsi"/>
                <w:color w:val="000000"/>
              </w:rPr>
              <w:t>inne wartości (2900 i 3240 zł).</w:t>
            </w:r>
          </w:p>
        </w:tc>
        <w:tc>
          <w:tcPr>
            <w:tcW w:w="3638" w:type="dxa"/>
          </w:tcPr>
          <w:p w14:paraId="7C3090DC" w14:textId="345414C3" w:rsidR="00FB1835" w:rsidRDefault="00F158C9" w:rsidP="00971FA8">
            <w:r>
              <w:t>Uwaga c</w:t>
            </w:r>
            <w:r w:rsidR="00D90DDD" w:rsidRPr="00D90DDD">
              <w:t>zęściowo uwzględnion</w:t>
            </w:r>
            <w:r>
              <w:t>a</w:t>
            </w:r>
            <w:r w:rsidR="00D90DDD" w:rsidRPr="00D90DDD">
              <w:t>.  Kwota „najniższych miesięcznych dochodach netto” jest zmienna w czasie. Doprecyzowano, że kwota  3240 zł dotyczy 2021 r. a kwota 2900 zł dotyczy  2020 r.</w:t>
            </w:r>
          </w:p>
        </w:tc>
      </w:tr>
      <w:tr w:rsidR="00FB1835" w14:paraId="39250445" w14:textId="77777777" w:rsidTr="00681E52">
        <w:tc>
          <w:tcPr>
            <w:tcW w:w="768" w:type="dxa"/>
            <w:vAlign w:val="center"/>
          </w:tcPr>
          <w:p w14:paraId="18C3D3DC" w14:textId="77777777" w:rsidR="00FB1835" w:rsidRDefault="00FB1835" w:rsidP="00971FA8">
            <w:pPr>
              <w:pStyle w:val="Akapitzlist"/>
              <w:numPr>
                <w:ilvl w:val="0"/>
                <w:numId w:val="1"/>
              </w:numPr>
            </w:pPr>
          </w:p>
        </w:tc>
        <w:tc>
          <w:tcPr>
            <w:tcW w:w="2200" w:type="dxa"/>
          </w:tcPr>
          <w:p w14:paraId="2BA35A31" w14:textId="77777777" w:rsidR="00FB1835" w:rsidRDefault="00107B21" w:rsidP="00971FA8">
            <w:r w:rsidRPr="00107B21">
              <w:t>Urząd Marszałkowski Województwa Śląskiego</w:t>
            </w:r>
          </w:p>
        </w:tc>
        <w:tc>
          <w:tcPr>
            <w:tcW w:w="2686" w:type="dxa"/>
          </w:tcPr>
          <w:p w14:paraId="34C7D747" w14:textId="77777777" w:rsidR="00FB1835" w:rsidRDefault="00D90DDD" w:rsidP="00971FA8">
            <w:r w:rsidRPr="00D90DDD">
              <w:t>Str. 35</w:t>
            </w:r>
          </w:p>
        </w:tc>
        <w:tc>
          <w:tcPr>
            <w:tcW w:w="4737" w:type="dxa"/>
          </w:tcPr>
          <w:p w14:paraId="719A9196" w14:textId="77777777" w:rsidR="00D90DDD" w:rsidRPr="00D90DDD" w:rsidRDefault="00D90DDD" w:rsidP="00971FA8">
            <w:pPr>
              <w:spacing w:before="72"/>
              <w:ind w:right="504"/>
              <w:rPr>
                <w:rFonts w:cstheme="minorHAnsi"/>
                <w:color w:val="000000"/>
              </w:rPr>
            </w:pPr>
            <w:r w:rsidRPr="00D90DDD">
              <w:rPr>
                <w:rFonts w:cstheme="minorHAnsi"/>
                <w:color w:val="000000"/>
              </w:rPr>
              <w:t xml:space="preserve">Proponuje się ujednolicenie definicji specjalisty ICT. </w:t>
            </w:r>
          </w:p>
          <w:p w14:paraId="51D01CAE" w14:textId="77777777" w:rsidR="00FB1835" w:rsidRDefault="00D90DDD" w:rsidP="00971FA8">
            <w:pPr>
              <w:spacing w:before="72"/>
              <w:ind w:right="504"/>
              <w:rPr>
                <w:rFonts w:cstheme="minorHAnsi"/>
                <w:color w:val="000000"/>
              </w:rPr>
            </w:pPr>
            <w:r w:rsidRPr="00D90DDD">
              <w:rPr>
                <w:rFonts w:cstheme="minorHAnsi"/>
                <w:color w:val="000000"/>
              </w:rPr>
              <w:t xml:space="preserve"> „Specjalista ICT to osoba, która posiada umiejętność tworzenia, obsługi i utrzymania systemów teleinformatycznych i dla której praca w obszarze ICT jest głównym zajęciem” (definicja Eurostat).</w:t>
            </w:r>
          </w:p>
          <w:p w14:paraId="37E91C59" w14:textId="77777777" w:rsidR="00D90DDD" w:rsidRPr="00C7370A" w:rsidRDefault="00D90DDD" w:rsidP="00971FA8">
            <w:pPr>
              <w:spacing w:before="72"/>
              <w:ind w:right="504"/>
              <w:rPr>
                <w:rFonts w:cstheme="minorHAnsi"/>
                <w:color w:val="000000"/>
              </w:rPr>
            </w:pPr>
            <w:r>
              <w:rPr>
                <w:rFonts w:cstheme="minorHAnsi"/>
                <w:color w:val="000000"/>
              </w:rPr>
              <w:t xml:space="preserve">Uzasadnienie: </w:t>
            </w:r>
            <w:r w:rsidRPr="00D90DDD">
              <w:rPr>
                <w:rFonts w:cstheme="minorHAnsi"/>
                <w:color w:val="000000"/>
              </w:rPr>
              <w:t xml:space="preserve">Definicja ze strony 35: </w:t>
            </w:r>
            <w:r w:rsidRPr="00D90DDD">
              <w:rPr>
                <w:rFonts w:cstheme="minorHAnsi"/>
                <w:i/>
                <w:color w:val="000000"/>
              </w:rPr>
              <w:t xml:space="preserve">„Specjaliści ICT to </w:t>
            </w:r>
            <w:r w:rsidRPr="00D90DDD">
              <w:rPr>
                <w:rFonts w:cstheme="minorHAnsi"/>
                <w:i/>
                <w:color w:val="000000"/>
                <w:u w:val="single"/>
              </w:rPr>
              <w:t>kadry o najwyższych kompetencjach</w:t>
            </w:r>
            <w:r w:rsidRPr="00D90DDD">
              <w:rPr>
                <w:rFonts w:cstheme="minorHAnsi"/>
                <w:i/>
                <w:color w:val="000000"/>
              </w:rPr>
              <w:t xml:space="preserve"> w obszarze technologii cyfrowych, dla których praca w obszarze ICT jest głównym zajęciem</w:t>
            </w:r>
            <w:r w:rsidRPr="00D90DDD">
              <w:rPr>
                <w:rFonts w:cstheme="minorHAnsi"/>
                <w:color w:val="000000"/>
              </w:rPr>
              <w:t>”  w pewnym stopniu neguje potrzebę diagnozowania ze strony 37.</w:t>
            </w:r>
          </w:p>
        </w:tc>
        <w:tc>
          <w:tcPr>
            <w:tcW w:w="3638" w:type="dxa"/>
          </w:tcPr>
          <w:p w14:paraId="04F153B5" w14:textId="272E9A8D" w:rsidR="00FB1835" w:rsidRDefault="00627052" w:rsidP="00971FA8">
            <w:r>
              <w:t>U</w:t>
            </w:r>
            <w:r w:rsidR="00F158C9">
              <w:t>waga u</w:t>
            </w:r>
            <w:r>
              <w:t>wzglę</w:t>
            </w:r>
            <w:r w:rsidR="00D90DDD">
              <w:t>dnion</w:t>
            </w:r>
            <w:r w:rsidR="00F158C9">
              <w:t>a</w:t>
            </w:r>
            <w:r w:rsidR="00686752">
              <w:t>.</w:t>
            </w:r>
          </w:p>
        </w:tc>
      </w:tr>
      <w:tr w:rsidR="00FB1835" w14:paraId="75913470" w14:textId="77777777" w:rsidTr="00681E52">
        <w:tc>
          <w:tcPr>
            <w:tcW w:w="768" w:type="dxa"/>
            <w:vAlign w:val="center"/>
          </w:tcPr>
          <w:p w14:paraId="5C21A9C6" w14:textId="77777777" w:rsidR="00FB1835" w:rsidRDefault="00FB1835" w:rsidP="00971FA8">
            <w:pPr>
              <w:pStyle w:val="Akapitzlist"/>
              <w:numPr>
                <w:ilvl w:val="0"/>
                <w:numId w:val="1"/>
              </w:numPr>
            </w:pPr>
          </w:p>
        </w:tc>
        <w:tc>
          <w:tcPr>
            <w:tcW w:w="2200" w:type="dxa"/>
          </w:tcPr>
          <w:p w14:paraId="127B018D" w14:textId="77777777" w:rsidR="00FB1835" w:rsidRDefault="00107B21" w:rsidP="00971FA8">
            <w:r w:rsidRPr="00107B21">
              <w:t>Urząd Marszałkowski Województwa Śląskiego</w:t>
            </w:r>
          </w:p>
        </w:tc>
        <w:tc>
          <w:tcPr>
            <w:tcW w:w="2686" w:type="dxa"/>
          </w:tcPr>
          <w:p w14:paraId="13F731ED" w14:textId="77777777" w:rsidR="00FB1835" w:rsidRDefault="00627052" w:rsidP="00971FA8">
            <w:r w:rsidRPr="00627052">
              <w:t>Str. 37</w:t>
            </w:r>
          </w:p>
        </w:tc>
        <w:tc>
          <w:tcPr>
            <w:tcW w:w="4737" w:type="dxa"/>
          </w:tcPr>
          <w:p w14:paraId="0D431151" w14:textId="77777777" w:rsidR="00FB1835" w:rsidRDefault="00627052" w:rsidP="00971FA8">
            <w:pPr>
              <w:spacing w:before="72"/>
              <w:ind w:right="504"/>
              <w:rPr>
                <w:rFonts w:cstheme="minorHAnsi"/>
                <w:color w:val="000000"/>
              </w:rPr>
            </w:pPr>
            <w:r w:rsidRPr="00627052">
              <w:rPr>
                <w:rFonts w:cstheme="minorHAnsi"/>
                <w:color w:val="000000"/>
              </w:rPr>
              <w:t>Napisane jest, że „Polscy specjaliści ICT dobrze wypadają w odniesieniu do średniej unijnej</w:t>
            </w:r>
            <w:r w:rsidR="00474912">
              <w:rPr>
                <w:rFonts w:cstheme="minorHAnsi"/>
                <w:color w:val="000000"/>
              </w:rPr>
              <w:t xml:space="preserve">” jednak z wykresów wynika, że </w:t>
            </w:r>
            <w:r w:rsidRPr="00627052">
              <w:rPr>
                <w:rFonts w:cstheme="minorHAnsi"/>
                <w:color w:val="000000"/>
              </w:rPr>
              <w:t>uzyskują wyniki poniżej średnie UE w poszczególnych kategoriach kompetencji cyfrowych.</w:t>
            </w:r>
          </w:p>
          <w:p w14:paraId="60FBF716"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 xml:space="preserve">W każdej z wymienionych kategorii Polska wypada poniżej średniej unijnej: Ponadpodstawowe umiejętności cyfrowe Polska 69, średnia UE 78, drugi </w:t>
            </w:r>
            <w:r w:rsidRPr="00627052">
              <w:rPr>
                <w:rFonts w:cstheme="minorHAnsi"/>
                <w:color w:val="000000"/>
              </w:rPr>
              <w:lastRenderedPageBreak/>
              <w:t>wskaźnik Polska 78, UE 87, trzecia kategoria Polska 93, UE 93. Pewne wątpliwości metodologiczne wzbudza uwzględnienie danych z 2015 (Włochy ) i 2017 (Malta) w wykresach w których tytuł zawiera określenia na rok 2019. Zasadnym wydaje się być w przypadku opracowania własnego Eurostat podanie linka funkcjonującego na dany dzień, gdyż występują problemy z odnalezieniem źródła.</w:t>
            </w:r>
          </w:p>
        </w:tc>
        <w:tc>
          <w:tcPr>
            <w:tcW w:w="3638" w:type="dxa"/>
          </w:tcPr>
          <w:p w14:paraId="3D42FCB4" w14:textId="530E3595" w:rsidR="00627052" w:rsidRPr="00627052" w:rsidRDefault="00474912" w:rsidP="00971FA8">
            <w:r>
              <w:lastRenderedPageBreak/>
              <w:t>U</w:t>
            </w:r>
            <w:r w:rsidR="00F158C9">
              <w:t>waga u</w:t>
            </w:r>
            <w:r>
              <w:t xml:space="preserve">względniono częściowo. </w:t>
            </w:r>
            <w:r w:rsidR="00627052" w:rsidRPr="00627052">
              <w:t xml:space="preserve">Wykres został uzupełniony o średnią UE, która w każdym z tych przypadków jest niższa od wyniku Polski. Na wykresie zaznaczono przypadki, kiedy użyto dane z innych lat, ponieważ tylko takie były dostępne. </w:t>
            </w:r>
          </w:p>
          <w:p w14:paraId="4DE56CF1" w14:textId="77777777" w:rsidR="00FB1835" w:rsidRDefault="00EC1EA8" w:rsidP="00971FA8">
            <w:r>
              <w:t xml:space="preserve">Dane na temat </w:t>
            </w:r>
            <w:r w:rsidRPr="00EC1EA8">
              <w:t xml:space="preserve">ponadpodstawowych kompetencji cyfrowych specjalistów ICT w 2019 r. pochodzą z bazy </w:t>
            </w:r>
            <w:r w:rsidRPr="00EC1EA8">
              <w:lastRenderedPageBreak/>
              <w:t xml:space="preserve">Eurostatu </w:t>
            </w:r>
            <w:r>
              <w:t>- w</w:t>
            </w:r>
            <w:r w:rsidR="00627052" w:rsidRPr="00627052">
              <w:t xml:space="preserve"> tym przypadku rozpatrywana jest zmienna </w:t>
            </w:r>
            <w:proofErr w:type="spellStart"/>
            <w:r w:rsidR="00627052" w:rsidRPr="00627052">
              <w:t>Individuals</w:t>
            </w:r>
            <w:proofErr w:type="spellEnd"/>
            <w:r w:rsidR="00627052" w:rsidRPr="00627052">
              <w:t xml:space="preserve">' </w:t>
            </w:r>
            <w:proofErr w:type="spellStart"/>
            <w:r w:rsidR="00627052" w:rsidRPr="00627052">
              <w:t>level</w:t>
            </w:r>
            <w:proofErr w:type="spellEnd"/>
            <w:r w:rsidR="00627052" w:rsidRPr="00627052">
              <w:t xml:space="preserve"> of </w:t>
            </w:r>
            <w:proofErr w:type="spellStart"/>
            <w:r w:rsidR="00627052" w:rsidRPr="00627052">
              <w:t>digital</w:t>
            </w:r>
            <w:proofErr w:type="spellEnd"/>
            <w:r w:rsidR="00627052" w:rsidRPr="00627052">
              <w:t xml:space="preserve"> </w:t>
            </w:r>
            <w:proofErr w:type="spellStart"/>
            <w:r w:rsidR="00627052" w:rsidRPr="00627052">
              <w:t>skills</w:t>
            </w:r>
            <w:proofErr w:type="spellEnd"/>
            <w:r w:rsidR="00627052" w:rsidRPr="00627052">
              <w:t xml:space="preserve"> (</w:t>
            </w:r>
            <w:proofErr w:type="spellStart"/>
            <w:r w:rsidR="00627052" w:rsidRPr="00627052">
              <w:t>until</w:t>
            </w:r>
            <w:proofErr w:type="spellEnd"/>
            <w:r w:rsidR="00627052" w:rsidRPr="00627052">
              <w:t xml:space="preserve"> 2019) [ISOC_SK_DSKL_I__custom_2032216], której wartość dla Polski w 2019  w przypadku specjalistów ICT wyniosła 69% przy średniej unijnej 61%.</w:t>
            </w:r>
          </w:p>
        </w:tc>
      </w:tr>
      <w:tr w:rsidR="00FB1835" w14:paraId="1E90B589" w14:textId="77777777" w:rsidTr="00681E52">
        <w:tc>
          <w:tcPr>
            <w:tcW w:w="768" w:type="dxa"/>
            <w:vAlign w:val="center"/>
          </w:tcPr>
          <w:p w14:paraId="5E959330" w14:textId="77777777" w:rsidR="00FB1835" w:rsidRDefault="00FB1835" w:rsidP="00971FA8">
            <w:pPr>
              <w:pStyle w:val="Akapitzlist"/>
              <w:numPr>
                <w:ilvl w:val="0"/>
                <w:numId w:val="1"/>
              </w:numPr>
            </w:pPr>
          </w:p>
        </w:tc>
        <w:tc>
          <w:tcPr>
            <w:tcW w:w="2200" w:type="dxa"/>
          </w:tcPr>
          <w:p w14:paraId="2B3C84DC" w14:textId="77777777" w:rsidR="00FB1835" w:rsidRDefault="00D90DDD" w:rsidP="00971FA8">
            <w:r w:rsidRPr="00D90DDD">
              <w:t>Urząd Marszałkowski Województwa Śląskiego</w:t>
            </w:r>
          </w:p>
        </w:tc>
        <w:tc>
          <w:tcPr>
            <w:tcW w:w="2686" w:type="dxa"/>
          </w:tcPr>
          <w:p w14:paraId="4BC1BF64" w14:textId="77777777" w:rsidR="00FB1835" w:rsidRDefault="00627052" w:rsidP="00971FA8">
            <w:r w:rsidRPr="00627052">
              <w:t>Str. 124 i kolejne</w:t>
            </w:r>
          </w:p>
        </w:tc>
        <w:tc>
          <w:tcPr>
            <w:tcW w:w="4737" w:type="dxa"/>
          </w:tcPr>
          <w:p w14:paraId="62D84681" w14:textId="77777777" w:rsidR="00FB1835" w:rsidRDefault="00627052" w:rsidP="00971FA8">
            <w:pPr>
              <w:spacing w:before="72"/>
              <w:ind w:right="504"/>
              <w:rPr>
                <w:rFonts w:cstheme="minorHAnsi"/>
                <w:color w:val="000000"/>
              </w:rPr>
            </w:pPr>
            <w:r w:rsidRPr="00627052">
              <w:rPr>
                <w:rFonts w:cstheme="minorHAnsi"/>
                <w:color w:val="000000"/>
              </w:rPr>
              <w:t>Ujednolicenie numeracji stron</w:t>
            </w:r>
            <w:r>
              <w:rPr>
                <w:rFonts w:cstheme="minorHAnsi"/>
                <w:color w:val="000000"/>
              </w:rPr>
              <w:t>.</w:t>
            </w:r>
          </w:p>
          <w:p w14:paraId="1E15A146"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Problemy z numeracją stron</w:t>
            </w:r>
          </w:p>
        </w:tc>
        <w:tc>
          <w:tcPr>
            <w:tcW w:w="3638" w:type="dxa"/>
          </w:tcPr>
          <w:p w14:paraId="3ED8CF2D" w14:textId="41EBDBC1" w:rsidR="00FB1835" w:rsidRDefault="00627052" w:rsidP="00971FA8">
            <w:r>
              <w:t>U</w:t>
            </w:r>
            <w:r w:rsidR="00F158C9">
              <w:t>waga u</w:t>
            </w:r>
            <w:r>
              <w:t>względnion</w:t>
            </w:r>
            <w:r w:rsidR="00F158C9">
              <w:t>a</w:t>
            </w:r>
            <w:r w:rsidR="00686752">
              <w:t>.</w:t>
            </w:r>
          </w:p>
        </w:tc>
      </w:tr>
      <w:tr w:rsidR="00FB1835" w14:paraId="15D27192" w14:textId="77777777" w:rsidTr="00681E52">
        <w:tc>
          <w:tcPr>
            <w:tcW w:w="768" w:type="dxa"/>
            <w:vAlign w:val="center"/>
          </w:tcPr>
          <w:p w14:paraId="3091077C" w14:textId="77777777" w:rsidR="00FB1835" w:rsidRDefault="00FB1835" w:rsidP="00971FA8">
            <w:pPr>
              <w:pStyle w:val="Akapitzlist"/>
              <w:numPr>
                <w:ilvl w:val="0"/>
                <w:numId w:val="1"/>
              </w:numPr>
            </w:pPr>
          </w:p>
        </w:tc>
        <w:tc>
          <w:tcPr>
            <w:tcW w:w="2200" w:type="dxa"/>
          </w:tcPr>
          <w:p w14:paraId="46D8FB29" w14:textId="77777777" w:rsidR="00FB1835" w:rsidRDefault="00627052" w:rsidP="00971FA8">
            <w:r w:rsidRPr="00627052">
              <w:rPr>
                <w:bCs/>
              </w:rPr>
              <w:t>Śląski Związek Gmin i Powiatów</w:t>
            </w:r>
          </w:p>
        </w:tc>
        <w:tc>
          <w:tcPr>
            <w:tcW w:w="2686" w:type="dxa"/>
          </w:tcPr>
          <w:p w14:paraId="0D2828F1" w14:textId="77777777" w:rsidR="00FB1835" w:rsidRDefault="00627052" w:rsidP="00971FA8">
            <w:r w:rsidRPr="00627052">
              <w:t>Str.4/5 Kompetencje cyfrowe</w:t>
            </w:r>
          </w:p>
        </w:tc>
        <w:tc>
          <w:tcPr>
            <w:tcW w:w="4737" w:type="dxa"/>
          </w:tcPr>
          <w:p w14:paraId="58B75F3F" w14:textId="77777777" w:rsidR="00FB1835" w:rsidRDefault="00627052" w:rsidP="00971FA8">
            <w:pPr>
              <w:spacing w:before="72"/>
              <w:ind w:right="504"/>
              <w:rPr>
                <w:rFonts w:cstheme="minorHAnsi"/>
                <w:color w:val="000000"/>
              </w:rPr>
            </w:pPr>
            <w:r w:rsidRPr="00627052">
              <w:rPr>
                <w:rFonts w:cstheme="minorHAnsi"/>
                <w:color w:val="000000"/>
              </w:rPr>
              <w:t>Dodanie do pojęcia  -  kompetencje informacyjno-komunikacyjne współpracy za pomocą technologii cyfrowej</w:t>
            </w:r>
            <w:r>
              <w:rPr>
                <w:rFonts w:cstheme="minorHAnsi"/>
                <w:color w:val="000000"/>
              </w:rPr>
              <w:t>.</w:t>
            </w:r>
          </w:p>
          <w:p w14:paraId="0DCDC87C"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Duże znaczenie współpracy w procesie komunikacji, budowaniu relacji i realizacji przedsięwzięć.</w:t>
            </w:r>
          </w:p>
        </w:tc>
        <w:tc>
          <w:tcPr>
            <w:tcW w:w="3638" w:type="dxa"/>
          </w:tcPr>
          <w:p w14:paraId="7E9367B0" w14:textId="77777777" w:rsidR="00F158C9" w:rsidRDefault="00F158C9" w:rsidP="00971FA8">
            <w:r>
              <w:t>Uwaga nie</w:t>
            </w:r>
            <w:r w:rsidR="00627052" w:rsidRPr="00627052">
              <w:t>uwzględnion</w:t>
            </w:r>
            <w:r>
              <w:t>a</w:t>
            </w:r>
            <w:r w:rsidR="00627052" w:rsidRPr="00627052">
              <w:t>.</w:t>
            </w:r>
          </w:p>
          <w:p w14:paraId="2A90F34C" w14:textId="77FDBA47" w:rsidR="00FB1835" w:rsidRDefault="00627052" w:rsidP="00971FA8">
            <w:r w:rsidRPr="00627052">
              <w:t>Bazujemy na definicji kompetencji cyfrowych określonej w PRKC, która mieści w sobie wymienione przez Państwa kompetencje.</w:t>
            </w:r>
          </w:p>
        </w:tc>
      </w:tr>
      <w:tr w:rsidR="00FB1835" w14:paraId="5C264F37" w14:textId="77777777" w:rsidTr="00681E52">
        <w:tc>
          <w:tcPr>
            <w:tcW w:w="768" w:type="dxa"/>
            <w:vAlign w:val="center"/>
          </w:tcPr>
          <w:p w14:paraId="455BA20A" w14:textId="77777777" w:rsidR="00FB1835" w:rsidRDefault="00FB1835" w:rsidP="00971FA8">
            <w:pPr>
              <w:pStyle w:val="Akapitzlist"/>
              <w:numPr>
                <w:ilvl w:val="0"/>
                <w:numId w:val="1"/>
              </w:numPr>
            </w:pPr>
          </w:p>
        </w:tc>
        <w:tc>
          <w:tcPr>
            <w:tcW w:w="2200" w:type="dxa"/>
          </w:tcPr>
          <w:p w14:paraId="676435B8" w14:textId="77777777" w:rsidR="00FB1835" w:rsidRDefault="00627052" w:rsidP="00971FA8">
            <w:r w:rsidRPr="00627052">
              <w:rPr>
                <w:bCs/>
              </w:rPr>
              <w:t>Śląski Związek Gmin i Powiatów</w:t>
            </w:r>
          </w:p>
        </w:tc>
        <w:tc>
          <w:tcPr>
            <w:tcW w:w="2686" w:type="dxa"/>
          </w:tcPr>
          <w:p w14:paraId="0A6DB6C1" w14:textId="77777777" w:rsidR="00FB1835" w:rsidRDefault="00627052" w:rsidP="00971FA8">
            <w:r w:rsidRPr="00627052">
              <w:t>Str. 71</w:t>
            </w:r>
          </w:p>
        </w:tc>
        <w:tc>
          <w:tcPr>
            <w:tcW w:w="4737" w:type="dxa"/>
          </w:tcPr>
          <w:p w14:paraId="2E08B499" w14:textId="77777777" w:rsidR="00FB1835" w:rsidRDefault="00627052" w:rsidP="00971FA8">
            <w:pPr>
              <w:spacing w:before="72"/>
              <w:ind w:right="504"/>
              <w:rPr>
                <w:rFonts w:cstheme="minorHAnsi"/>
                <w:color w:val="000000"/>
              </w:rPr>
            </w:pPr>
            <w:r w:rsidRPr="00627052">
              <w:rPr>
                <w:rFonts w:cstheme="minorHAnsi"/>
                <w:color w:val="000000"/>
              </w:rPr>
              <w:t>Wyjaśnienie lub zmianę opisu „federalizację zasobów i dobrych praktyk”</w:t>
            </w:r>
            <w:r>
              <w:rPr>
                <w:rFonts w:cstheme="minorHAnsi"/>
                <w:color w:val="000000"/>
              </w:rPr>
              <w:t>.</w:t>
            </w:r>
          </w:p>
          <w:p w14:paraId="1F052B0C"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Jednoznaczność rozumienia sformułowania.</w:t>
            </w:r>
          </w:p>
        </w:tc>
        <w:tc>
          <w:tcPr>
            <w:tcW w:w="3638" w:type="dxa"/>
          </w:tcPr>
          <w:p w14:paraId="2451408E" w14:textId="105A4E5D" w:rsidR="00FB1835" w:rsidRDefault="00627052" w:rsidP="00971FA8">
            <w:r>
              <w:t>U</w:t>
            </w:r>
            <w:r w:rsidR="00F158C9">
              <w:t>waga u</w:t>
            </w:r>
            <w:r>
              <w:t>względnion</w:t>
            </w:r>
            <w:r w:rsidR="00F158C9">
              <w:t>a</w:t>
            </w:r>
            <w:r w:rsidR="00686752">
              <w:t>.</w:t>
            </w:r>
          </w:p>
        </w:tc>
      </w:tr>
      <w:tr w:rsidR="00627052" w14:paraId="2CC5AA09" w14:textId="77777777" w:rsidTr="00681E52">
        <w:tc>
          <w:tcPr>
            <w:tcW w:w="768" w:type="dxa"/>
            <w:vAlign w:val="center"/>
          </w:tcPr>
          <w:p w14:paraId="44B9E3B2" w14:textId="77777777" w:rsidR="00627052" w:rsidRDefault="00627052" w:rsidP="00971FA8">
            <w:pPr>
              <w:pStyle w:val="Akapitzlist"/>
              <w:numPr>
                <w:ilvl w:val="0"/>
                <w:numId w:val="1"/>
              </w:numPr>
            </w:pPr>
          </w:p>
        </w:tc>
        <w:tc>
          <w:tcPr>
            <w:tcW w:w="2200" w:type="dxa"/>
          </w:tcPr>
          <w:p w14:paraId="2A610107" w14:textId="77777777" w:rsidR="00627052" w:rsidRDefault="00627052" w:rsidP="00971FA8">
            <w:r w:rsidRPr="00627052">
              <w:rPr>
                <w:bCs/>
              </w:rPr>
              <w:t>Śląski Związek Gmin i Powiatów</w:t>
            </w:r>
          </w:p>
        </w:tc>
        <w:tc>
          <w:tcPr>
            <w:tcW w:w="2686" w:type="dxa"/>
          </w:tcPr>
          <w:p w14:paraId="66712974" w14:textId="77777777" w:rsidR="00627052" w:rsidRDefault="00627052" w:rsidP="00971FA8">
            <w:r w:rsidRPr="00627052">
              <w:t>Str. 72</w:t>
            </w:r>
          </w:p>
        </w:tc>
        <w:tc>
          <w:tcPr>
            <w:tcW w:w="4737" w:type="dxa"/>
          </w:tcPr>
          <w:p w14:paraId="1E504506" w14:textId="77777777" w:rsidR="00627052" w:rsidRDefault="00627052" w:rsidP="00971FA8">
            <w:pPr>
              <w:spacing w:before="72"/>
              <w:ind w:right="504"/>
              <w:rPr>
                <w:rFonts w:cstheme="minorHAnsi"/>
                <w:color w:val="000000"/>
              </w:rPr>
            </w:pPr>
            <w:r w:rsidRPr="00627052">
              <w:rPr>
                <w:rFonts w:cstheme="minorHAnsi"/>
                <w:color w:val="000000"/>
              </w:rPr>
              <w:t>Poszerzyć Podmioty współpracujące o JST.</w:t>
            </w:r>
          </w:p>
          <w:p w14:paraId="0874B0A7"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e-usługi publiczne tworzone są również przez JST dla swoich mieszkańców i warto jest je promować.</w:t>
            </w:r>
          </w:p>
        </w:tc>
        <w:tc>
          <w:tcPr>
            <w:tcW w:w="3638" w:type="dxa"/>
          </w:tcPr>
          <w:p w14:paraId="7FA9B65A" w14:textId="799F2451" w:rsidR="00627052" w:rsidRDefault="00F158C9" w:rsidP="00971FA8">
            <w:r>
              <w:t>Uwaga nie</w:t>
            </w:r>
            <w:r w:rsidR="00627052" w:rsidRPr="00627052">
              <w:t>uwzględnion</w:t>
            </w:r>
            <w:r>
              <w:t>a</w:t>
            </w:r>
            <w:r w:rsidR="00627052" w:rsidRPr="00627052">
              <w:t xml:space="preserve"> Działanie II.1.2. Kampanie edukacyjno-informacyjne na rzecz rozwoju społeczeństwa informacyjnego, w tym kompetencji cyfrowych jest działaniem na poziomie ogólnopolskim.</w:t>
            </w:r>
          </w:p>
        </w:tc>
      </w:tr>
      <w:tr w:rsidR="00627052" w14:paraId="02B25F1A" w14:textId="77777777" w:rsidTr="00681E52">
        <w:tc>
          <w:tcPr>
            <w:tcW w:w="768" w:type="dxa"/>
            <w:vAlign w:val="center"/>
          </w:tcPr>
          <w:p w14:paraId="3618E12E" w14:textId="77777777" w:rsidR="00627052" w:rsidRDefault="00627052" w:rsidP="00971FA8">
            <w:pPr>
              <w:pStyle w:val="Akapitzlist"/>
              <w:numPr>
                <w:ilvl w:val="0"/>
                <w:numId w:val="1"/>
              </w:numPr>
            </w:pPr>
          </w:p>
        </w:tc>
        <w:tc>
          <w:tcPr>
            <w:tcW w:w="2200" w:type="dxa"/>
          </w:tcPr>
          <w:p w14:paraId="7383673E" w14:textId="77777777" w:rsidR="00627052" w:rsidRDefault="00627052" w:rsidP="00971FA8">
            <w:r w:rsidRPr="00627052">
              <w:rPr>
                <w:bCs/>
              </w:rPr>
              <w:t>Śląski Związek Gmin i Powiatów</w:t>
            </w:r>
          </w:p>
        </w:tc>
        <w:tc>
          <w:tcPr>
            <w:tcW w:w="2686" w:type="dxa"/>
          </w:tcPr>
          <w:p w14:paraId="131CA4F2" w14:textId="77777777" w:rsidR="00627052" w:rsidRDefault="00627052" w:rsidP="00971FA8">
            <w:r w:rsidRPr="00627052">
              <w:t>Str. 86</w:t>
            </w:r>
          </w:p>
        </w:tc>
        <w:tc>
          <w:tcPr>
            <w:tcW w:w="4737" w:type="dxa"/>
          </w:tcPr>
          <w:p w14:paraId="4CF08F49" w14:textId="77777777" w:rsidR="00627052" w:rsidRDefault="00627052" w:rsidP="00971FA8">
            <w:pPr>
              <w:spacing w:before="72"/>
              <w:ind w:right="504"/>
              <w:rPr>
                <w:rFonts w:cstheme="minorHAnsi"/>
                <w:color w:val="000000"/>
              </w:rPr>
            </w:pPr>
            <w:r w:rsidRPr="00627052">
              <w:rPr>
                <w:rFonts w:cstheme="minorHAnsi"/>
                <w:color w:val="000000"/>
              </w:rPr>
              <w:t>Dodanie szkoleń w zakresie: projektowania e-usług, zarządzania projektami.</w:t>
            </w:r>
          </w:p>
          <w:p w14:paraId="43B5C646" w14:textId="77777777" w:rsidR="00334F8C" w:rsidRPr="00C7370A" w:rsidRDefault="00334F8C" w:rsidP="00971FA8">
            <w:pPr>
              <w:spacing w:before="72"/>
              <w:ind w:right="504"/>
              <w:rPr>
                <w:rFonts w:cstheme="minorHAnsi"/>
                <w:color w:val="000000"/>
              </w:rPr>
            </w:pPr>
            <w:r>
              <w:rPr>
                <w:rFonts w:cstheme="minorHAnsi"/>
                <w:color w:val="000000"/>
              </w:rPr>
              <w:lastRenderedPageBreak/>
              <w:t xml:space="preserve">Uzasadnienie: </w:t>
            </w:r>
            <w:r w:rsidRPr="00334F8C">
              <w:rPr>
                <w:rFonts w:cstheme="minorHAnsi"/>
                <w:color w:val="000000"/>
              </w:rPr>
              <w:t>Ważne szkolenia w celu tworzenia odpowiednich e-usług dla mieszkańców.</w:t>
            </w:r>
          </w:p>
        </w:tc>
        <w:tc>
          <w:tcPr>
            <w:tcW w:w="3638" w:type="dxa"/>
          </w:tcPr>
          <w:p w14:paraId="2F8454B5" w14:textId="299F33C0" w:rsidR="00627052" w:rsidRDefault="00334F8C" w:rsidP="00971FA8">
            <w:r w:rsidRPr="00334F8C">
              <w:lastRenderedPageBreak/>
              <w:t>U</w:t>
            </w:r>
            <w:r w:rsidR="00F158C9">
              <w:t>waga</w:t>
            </w:r>
            <w:r w:rsidR="001904EF">
              <w:t xml:space="preserve"> u</w:t>
            </w:r>
            <w:r w:rsidRPr="00334F8C">
              <w:t>względnion</w:t>
            </w:r>
            <w:r w:rsidR="001904EF">
              <w:t>a</w:t>
            </w:r>
            <w:r w:rsidRPr="00334F8C">
              <w:t xml:space="preserve"> w zakresie projektowania e-usług. Zarządzanie </w:t>
            </w:r>
            <w:r w:rsidRPr="00334F8C">
              <w:lastRenderedPageBreak/>
              <w:t>projektami jest bardzo ważne, ale nie wchodzi w zakres kompetencji cyfrowych, więc nie jest przedmiotem PRKC.</w:t>
            </w:r>
          </w:p>
        </w:tc>
      </w:tr>
      <w:tr w:rsidR="00627052" w14:paraId="684CBD73" w14:textId="77777777" w:rsidTr="00681E52">
        <w:tc>
          <w:tcPr>
            <w:tcW w:w="768" w:type="dxa"/>
            <w:vAlign w:val="center"/>
          </w:tcPr>
          <w:p w14:paraId="0FF71688" w14:textId="77777777" w:rsidR="00627052" w:rsidRDefault="00627052" w:rsidP="00971FA8">
            <w:pPr>
              <w:pStyle w:val="Akapitzlist"/>
              <w:numPr>
                <w:ilvl w:val="0"/>
                <w:numId w:val="1"/>
              </w:numPr>
            </w:pPr>
          </w:p>
        </w:tc>
        <w:tc>
          <w:tcPr>
            <w:tcW w:w="2200" w:type="dxa"/>
          </w:tcPr>
          <w:p w14:paraId="152807B9" w14:textId="77777777" w:rsidR="00627052" w:rsidRDefault="00627052" w:rsidP="00971FA8">
            <w:r w:rsidRPr="00627052">
              <w:rPr>
                <w:bCs/>
              </w:rPr>
              <w:t>Śląski Związek Gmin i Powiatów</w:t>
            </w:r>
          </w:p>
        </w:tc>
        <w:tc>
          <w:tcPr>
            <w:tcW w:w="2686" w:type="dxa"/>
          </w:tcPr>
          <w:p w14:paraId="3BBD040C" w14:textId="77777777" w:rsidR="00627052" w:rsidRDefault="00334F8C" w:rsidP="00971FA8">
            <w:r w:rsidRPr="00334F8C">
              <w:rPr>
                <w:rFonts w:ascii="Calibri" w:eastAsia="Times New Roman" w:hAnsi="Calibri" w:cs="Calibri"/>
                <w:sz w:val="20"/>
                <w:szCs w:val="20"/>
              </w:rPr>
              <w:t>Str.91</w:t>
            </w:r>
          </w:p>
        </w:tc>
        <w:tc>
          <w:tcPr>
            <w:tcW w:w="4737" w:type="dxa"/>
          </w:tcPr>
          <w:p w14:paraId="5D5110E8" w14:textId="77777777" w:rsidR="00627052" w:rsidRDefault="00334F8C" w:rsidP="00971FA8">
            <w:pPr>
              <w:spacing w:before="72"/>
              <w:ind w:right="504"/>
              <w:rPr>
                <w:rFonts w:cstheme="minorHAnsi"/>
                <w:color w:val="000000"/>
              </w:rPr>
            </w:pPr>
            <w:r w:rsidRPr="00334F8C">
              <w:rPr>
                <w:rFonts w:cstheme="minorHAnsi"/>
                <w:color w:val="000000"/>
              </w:rPr>
              <w:t>W opisie zmienić na cztery typy szkoleń.</w:t>
            </w:r>
            <w:r>
              <w:rPr>
                <w:rFonts w:cstheme="minorHAnsi"/>
                <w:color w:val="000000"/>
              </w:rPr>
              <w:t xml:space="preserve"> </w:t>
            </w:r>
            <w:r w:rsidRPr="00334F8C">
              <w:rPr>
                <w:rFonts w:cstheme="minorHAnsi"/>
                <w:color w:val="000000"/>
              </w:rPr>
              <w:t>Rozdzielić szkolenia dla kadry zarządzającej od pracowników działów IT.</w:t>
            </w:r>
          </w:p>
          <w:p w14:paraId="0A02783D" w14:textId="77777777" w:rsidR="00334F8C" w:rsidRPr="00C7370A" w:rsidRDefault="00334F8C" w:rsidP="00971FA8">
            <w:pPr>
              <w:spacing w:before="72"/>
              <w:ind w:right="504"/>
              <w:rPr>
                <w:rFonts w:cstheme="minorHAnsi"/>
                <w:color w:val="000000"/>
              </w:rPr>
            </w:pPr>
            <w:r>
              <w:rPr>
                <w:rFonts w:cstheme="minorHAnsi"/>
                <w:color w:val="000000"/>
              </w:rPr>
              <w:t xml:space="preserve">Uzasadnienie: </w:t>
            </w:r>
            <w:r w:rsidRPr="00334F8C">
              <w:rPr>
                <w:rFonts w:cstheme="minorHAnsi"/>
                <w:color w:val="000000"/>
              </w:rPr>
              <w:t>Szkolenia mają inny zakres.</w:t>
            </w:r>
          </w:p>
        </w:tc>
        <w:tc>
          <w:tcPr>
            <w:tcW w:w="3638" w:type="dxa"/>
          </w:tcPr>
          <w:p w14:paraId="1BCB7B7A" w14:textId="59338C6E" w:rsidR="00627052" w:rsidRDefault="001904EF" w:rsidP="00971FA8">
            <w:r>
              <w:t>Uwaga nie</w:t>
            </w:r>
            <w:r w:rsidR="00334F8C" w:rsidRPr="00334F8C">
              <w:t>uwzględnion</w:t>
            </w:r>
            <w:r>
              <w:t>a</w:t>
            </w:r>
            <w:r w:rsidR="00334F8C" w:rsidRPr="00334F8C">
              <w:t>. Ze względu na horyzontalny charakter PRKC nie należy interpretować zapisu w sposób wskazujący na uczestnictwo tylko w jednym typie szkolenia. Konkretny typ szkolenia zostanie określony na etapie wdrażania działania, w zależności od potrzeb.</w:t>
            </w:r>
          </w:p>
        </w:tc>
      </w:tr>
      <w:tr w:rsidR="00627052" w14:paraId="7641C167" w14:textId="77777777" w:rsidTr="00681E52">
        <w:tc>
          <w:tcPr>
            <w:tcW w:w="768" w:type="dxa"/>
            <w:vAlign w:val="center"/>
          </w:tcPr>
          <w:p w14:paraId="630CE594" w14:textId="77777777" w:rsidR="00627052" w:rsidRDefault="00627052" w:rsidP="00971FA8">
            <w:pPr>
              <w:pStyle w:val="Akapitzlist"/>
              <w:numPr>
                <w:ilvl w:val="0"/>
                <w:numId w:val="1"/>
              </w:numPr>
            </w:pPr>
          </w:p>
        </w:tc>
        <w:tc>
          <w:tcPr>
            <w:tcW w:w="2200" w:type="dxa"/>
          </w:tcPr>
          <w:p w14:paraId="00D041D3" w14:textId="77777777" w:rsidR="00627052" w:rsidRDefault="00334F8C" w:rsidP="00971FA8">
            <w:r w:rsidRPr="00334F8C">
              <w:rPr>
                <w:bCs/>
              </w:rPr>
              <w:t>Śląski Związek Gmin i Powiatów</w:t>
            </w:r>
          </w:p>
        </w:tc>
        <w:tc>
          <w:tcPr>
            <w:tcW w:w="2686" w:type="dxa"/>
          </w:tcPr>
          <w:p w14:paraId="5079F413" w14:textId="77777777" w:rsidR="00334F8C" w:rsidRPr="00334F8C" w:rsidRDefault="00334F8C" w:rsidP="00971FA8">
            <w:r w:rsidRPr="00334F8C">
              <w:t xml:space="preserve">Tabela 6 </w:t>
            </w:r>
          </w:p>
          <w:p w14:paraId="71954E20" w14:textId="77777777" w:rsidR="00627052" w:rsidRDefault="00334F8C" w:rsidP="00971FA8">
            <w:r w:rsidRPr="00334F8C">
              <w:t>(str. 100-104)</w:t>
            </w:r>
          </w:p>
        </w:tc>
        <w:tc>
          <w:tcPr>
            <w:tcW w:w="4737" w:type="dxa"/>
          </w:tcPr>
          <w:p w14:paraId="07E30309" w14:textId="77777777" w:rsidR="00627052" w:rsidRDefault="00334F8C" w:rsidP="00971FA8">
            <w:pPr>
              <w:spacing w:before="72"/>
              <w:ind w:right="504"/>
              <w:rPr>
                <w:rFonts w:cstheme="minorHAnsi"/>
                <w:color w:val="000000"/>
              </w:rPr>
            </w:pPr>
            <w:r w:rsidRPr="00334F8C">
              <w:rPr>
                <w:rFonts w:cstheme="minorHAnsi"/>
                <w:color w:val="000000"/>
              </w:rPr>
              <w:t xml:space="preserve">W działaniach </w:t>
            </w:r>
            <w:r w:rsidRPr="00334F8C">
              <w:rPr>
                <w:rFonts w:cstheme="minorHAnsi"/>
                <w:i/>
                <w:iCs/>
                <w:color w:val="000000"/>
              </w:rPr>
              <w:t>III.3.3. Szkolenia dla pracowników administracji publicznej w zakresie zarządzania i koordynowania dostępności cyfrowej w projektach</w:t>
            </w:r>
            <w:r w:rsidRPr="00334F8C">
              <w:rPr>
                <w:rFonts w:cstheme="minorHAnsi"/>
                <w:color w:val="000000"/>
              </w:rPr>
              <w:t xml:space="preserve"> </w:t>
            </w:r>
            <w:r w:rsidRPr="00334F8C">
              <w:rPr>
                <w:rFonts w:cstheme="minorHAnsi"/>
                <w:i/>
                <w:iCs/>
                <w:color w:val="000000"/>
              </w:rPr>
              <w:t>III.3.6. #CyberbezpiecznySamorząd</w:t>
            </w:r>
            <w:r w:rsidRPr="00334F8C">
              <w:rPr>
                <w:rFonts w:cstheme="minorHAnsi"/>
                <w:color w:val="000000"/>
              </w:rPr>
              <w:t xml:space="preserve"> </w:t>
            </w:r>
            <w:r w:rsidRPr="00334F8C">
              <w:rPr>
                <w:rFonts w:cstheme="minorHAnsi"/>
                <w:i/>
                <w:iCs/>
                <w:color w:val="000000"/>
              </w:rPr>
              <w:t xml:space="preserve">III.3.9. Dostępność cyfrowa stron jednostek samorządu terytorialnego – zasoby, szkolenia, </w:t>
            </w:r>
            <w:proofErr w:type="spellStart"/>
            <w:r w:rsidRPr="00334F8C">
              <w:rPr>
                <w:rFonts w:cstheme="minorHAnsi"/>
                <w:i/>
                <w:iCs/>
                <w:color w:val="000000"/>
              </w:rPr>
              <w:t>walidatory</w:t>
            </w:r>
            <w:proofErr w:type="spellEnd"/>
            <w:r w:rsidRPr="00334F8C">
              <w:rPr>
                <w:rFonts w:cstheme="minorHAnsi"/>
                <w:color w:val="000000"/>
              </w:rPr>
              <w:t xml:space="preserve"> dodać jako podmioty współpracujące jednostki samorządu terytorialnego.</w:t>
            </w:r>
          </w:p>
          <w:p w14:paraId="2AF828D8" w14:textId="77777777" w:rsidR="00334F8C" w:rsidRPr="00C7370A" w:rsidRDefault="00334F8C" w:rsidP="00971FA8">
            <w:pPr>
              <w:spacing w:before="72"/>
              <w:ind w:right="504"/>
              <w:rPr>
                <w:rFonts w:cstheme="minorHAnsi"/>
                <w:color w:val="000000"/>
              </w:rPr>
            </w:pPr>
            <w:r>
              <w:rPr>
                <w:rFonts w:cstheme="minorHAnsi"/>
                <w:color w:val="000000"/>
              </w:rPr>
              <w:t xml:space="preserve">Uzasadnienie: </w:t>
            </w:r>
            <w:r w:rsidRPr="00334F8C">
              <w:rPr>
                <w:rFonts w:cstheme="minorHAnsi"/>
                <w:color w:val="000000"/>
              </w:rPr>
              <w:t>Warto, aby jednostki samorządu terytorialnego były nie tylko beneficjentem przedstawionych działań, ale również aktywnym podmiotem współpracującym. Dzięki tego typu rozwiązaniu, minimalizacji ulegnie prawdopodobieństwo braku dopasowania oferty działań do potrzeb JST.</w:t>
            </w:r>
          </w:p>
        </w:tc>
        <w:tc>
          <w:tcPr>
            <w:tcW w:w="3638" w:type="dxa"/>
          </w:tcPr>
          <w:p w14:paraId="0D439F45" w14:textId="737CF1B1" w:rsidR="00627052" w:rsidRDefault="00334F8C" w:rsidP="00971FA8">
            <w:r>
              <w:t>U</w:t>
            </w:r>
            <w:r w:rsidR="001904EF">
              <w:t>waga u</w:t>
            </w:r>
            <w:r>
              <w:t>względnion</w:t>
            </w:r>
            <w:r w:rsidR="001904EF">
              <w:t>a</w:t>
            </w:r>
            <w:r w:rsidR="00686752">
              <w:t>.</w:t>
            </w:r>
          </w:p>
        </w:tc>
      </w:tr>
      <w:tr w:rsidR="00627052" w14:paraId="64588143" w14:textId="77777777" w:rsidTr="00681E52">
        <w:tc>
          <w:tcPr>
            <w:tcW w:w="768" w:type="dxa"/>
            <w:vAlign w:val="center"/>
          </w:tcPr>
          <w:p w14:paraId="53A5741E" w14:textId="77777777" w:rsidR="00627052" w:rsidRDefault="00627052" w:rsidP="00971FA8">
            <w:pPr>
              <w:pStyle w:val="Akapitzlist"/>
              <w:numPr>
                <w:ilvl w:val="0"/>
                <w:numId w:val="1"/>
              </w:numPr>
            </w:pPr>
          </w:p>
        </w:tc>
        <w:tc>
          <w:tcPr>
            <w:tcW w:w="2200" w:type="dxa"/>
          </w:tcPr>
          <w:p w14:paraId="0D648BBA" w14:textId="77777777" w:rsidR="00627052" w:rsidRDefault="00334F8C" w:rsidP="00971FA8">
            <w:r w:rsidRPr="00334F8C">
              <w:rPr>
                <w:bCs/>
              </w:rPr>
              <w:t>Śląski Związek Gmin i Powiatów</w:t>
            </w:r>
          </w:p>
        </w:tc>
        <w:tc>
          <w:tcPr>
            <w:tcW w:w="2686" w:type="dxa"/>
          </w:tcPr>
          <w:p w14:paraId="65511677" w14:textId="77777777" w:rsidR="00627052" w:rsidRDefault="00334F8C" w:rsidP="00971FA8">
            <w:r w:rsidRPr="00334F8C">
              <w:t>Str. 77</w:t>
            </w:r>
          </w:p>
        </w:tc>
        <w:tc>
          <w:tcPr>
            <w:tcW w:w="4737" w:type="dxa"/>
          </w:tcPr>
          <w:p w14:paraId="72D7C066" w14:textId="77777777" w:rsidR="00627052" w:rsidRDefault="00334F8C" w:rsidP="00971FA8">
            <w:pPr>
              <w:spacing w:before="72"/>
              <w:ind w:right="504"/>
              <w:rPr>
                <w:rFonts w:cstheme="minorHAnsi"/>
                <w:color w:val="000000"/>
              </w:rPr>
            </w:pPr>
            <w:r w:rsidRPr="00334F8C">
              <w:rPr>
                <w:rFonts w:cstheme="minorHAnsi"/>
                <w:color w:val="000000"/>
              </w:rPr>
              <w:t>Usunąć pusty nagłówek</w:t>
            </w:r>
            <w:r>
              <w:rPr>
                <w:rFonts w:cstheme="minorHAnsi"/>
                <w:color w:val="000000"/>
              </w:rPr>
              <w:t>.</w:t>
            </w:r>
          </w:p>
          <w:p w14:paraId="59FCFBD8" w14:textId="77777777" w:rsidR="00334F8C" w:rsidRPr="00C7370A" w:rsidRDefault="00334F8C" w:rsidP="00971FA8">
            <w:pPr>
              <w:spacing w:before="72"/>
              <w:ind w:right="504"/>
              <w:rPr>
                <w:rFonts w:cstheme="minorHAnsi"/>
                <w:color w:val="000000"/>
              </w:rPr>
            </w:pPr>
            <w:r>
              <w:rPr>
                <w:rFonts w:cstheme="minorHAnsi"/>
                <w:color w:val="000000"/>
              </w:rPr>
              <w:t xml:space="preserve">Uzasadnienie: </w:t>
            </w:r>
            <w:r w:rsidRPr="00334F8C">
              <w:rPr>
                <w:rFonts w:cstheme="minorHAnsi"/>
                <w:color w:val="000000"/>
              </w:rPr>
              <w:t>Czytelność dokumentu</w:t>
            </w:r>
            <w:r>
              <w:rPr>
                <w:rFonts w:cstheme="minorHAnsi"/>
                <w:color w:val="000000"/>
              </w:rPr>
              <w:t>.</w:t>
            </w:r>
          </w:p>
        </w:tc>
        <w:tc>
          <w:tcPr>
            <w:tcW w:w="3638" w:type="dxa"/>
          </w:tcPr>
          <w:p w14:paraId="595671CC" w14:textId="1B50FE13" w:rsidR="00627052" w:rsidRDefault="00334F8C" w:rsidP="00971FA8">
            <w:r w:rsidRPr="00334F8C">
              <w:t>U</w:t>
            </w:r>
            <w:r w:rsidR="001904EF">
              <w:t>waga u</w:t>
            </w:r>
            <w:r w:rsidRPr="00334F8C">
              <w:t>względnion</w:t>
            </w:r>
            <w:r w:rsidR="001904EF">
              <w:t>a</w:t>
            </w:r>
            <w:r w:rsidR="00686752">
              <w:t>.</w:t>
            </w:r>
          </w:p>
        </w:tc>
      </w:tr>
      <w:tr w:rsidR="00334F8C" w14:paraId="4393FC67" w14:textId="77777777" w:rsidTr="00681E52">
        <w:tc>
          <w:tcPr>
            <w:tcW w:w="768" w:type="dxa"/>
            <w:vAlign w:val="center"/>
          </w:tcPr>
          <w:p w14:paraId="3263E598" w14:textId="77777777" w:rsidR="00334F8C" w:rsidRDefault="00334F8C" w:rsidP="00971FA8">
            <w:pPr>
              <w:pStyle w:val="Akapitzlist"/>
              <w:numPr>
                <w:ilvl w:val="0"/>
                <w:numId w:val="1"/>
              </w:numPr>
            </w:pPr>
          </w:p>
        </w:tc>
        <w:tc>
          <w:tcPr>
            <w:tcW w:w="2200" w:type="dxa"/>
          </w:tcPr>
          <w:p w14:paraId="3D6BD488" w14:textId="77777777" w:rsidR="00334F8C" w:rsidRDefault="00E50040" w:rsidP="00971FA8">
            <w:r w:rsidRPr="00E50040">
              <w:rPr>
                <w:bCs/>
              </w:rPr>
              <w:t>Unia Metropolii Polskich</w:t>
            </w:r>
          </w:p>
        </w:tc>
        <w:tc>
          <w:tcPr>
            <w:tcW w:w="2686" w:type="dxa"/>
          </w:tcPr>
          <w:p w14:paraId="6CC536DA" w14:textId="77777777" w:rsidR="00334F8C" w:rsidRDefault="00E50040" w:rsidP="00971FA8">
            <w:r w:rsidRPr="00E50040">
              <w:rPr>
                <w:bCs/>
              </w:rPr>
              <w:t>Uwaga Ogólna</w:t>
            </w:r>
          </w:p>
        </w:tc>
        <w:tc>
          <w:tcPr>
            <w:tcW w:w="4737" w:type="dxa"/>
          </w:tcPr>
          <w:p w14:paraId="64D6340B"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Liczby przeszkolonych pracowników w stosunku do skali pracowników zatrudnionych w sektorze samorządowym wydają się dalece niewystarczające. </w:t>
            </w:r>
          </w:p>
          <w:p w14:paraId="089764BD"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Przykładowo przeszkolenie 60 pracowników JST z otwartych danych czy szkolenia dla pracowników administracji publicznej w zakresie zarządzania i koordynowania dostępności cyfrowej w projektach dla 350 osób, to skala zbyt mała, aby mogła doprowadzić rzeczywistego podniesienia kompetencji w tym sektorze.  </w:t>
            </w:r>
          </w:p>
          <w:p w14:paraId="330058DD" w14:textId="77777777" w:rsidR="00E50040" w:rsidRPr="00E50040" w:rsidRDefault="00E50040" w:rsidP="00971FA8">
            <w:pPr>
              <w:spacing w:before="72"/>
              <w:ind w:right="504"/>
              <w:rPr>
                <w:rFonts w:cstheme="minorHAnsi"/>
                <w:bCs/>
                <w:color w:val="000000"/>
              </w:rPr>
            </w:pPr>
            <w:r w:rsidRPr="00E50040">
              <w:rPr>
                <w:rFonts w:cstheme="minorHAnsi"/>
                <w:bCs/>
                <w:color w:val="000000"/>
              </w:rPr>
              <w:t>Wydaj się, że wiele z opisanych zdań będzie miał charakter akcyjny (jednorazowy), a nie związany ze stałym podnoszeniem kompetencji i periodycznym.</w:t>
            </w:r>
          </w:p>
          <w:p w14:paraId="2F5DE496"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Jednocześnie zwracamy uwagę, że im większy będzie poziom kompetencji cyfrowych pracowników </w:t>
            </w:r>
            <w:proofErr w:type="spellStart"/>
            <w:r w:rsidRPr="00E50040">
              <w:rPr>
                <w:rFonts w:cstheme="minorHAnsi"/>
                <w:bCs/>
                <w:color w:val="000000"/>
              </w:rPr>
              <w:t>jst</w:t>
            </w:r>
            <w:proofErr w:type="spellEnd"/>
            <w:r w:rsidRPr="00E50040">
              <w:rPr>
                <w:rFonts w:cstheme="minorHAnsi"/>
                <w:bCs/>
                <w:color w:val="000000"/>
              </w:rPr>
              <w:t xml:space="preserve"> (co jest zasadne) to jednocześnie tym trudniej będzie zatrzymać pracowników w administracji. </w:t>
            </w:r>
          </w:p>
          <w:p w14:paraId="40172137"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Autorzy dokumentu mają tego świadomość, ale nie widać w programie pomysłu na realizację tego stanu rzeczy np. koszt studiów uzależniony od późniejszej pracy w Polsce. Tego rodzaju działania w programie powinny być przewidziane choćby jako cele operacyjne a przynajmniej jako cele strategiczne i powinny być brane pod uwagę np. w trakcie projektowania nowych aktów prawnych. </w:t>
            </w:r>
          </w:p>
          <w:p w14:paraId="526202D6" w14:textId="77777777" w:rsidR="00E50040" w:rsidRPr="00E50040" w:rsidRDefault="00E50040" w:rsidP="00971FA8">
            <w:pPr>
              <w:spacing w:before="72"/>
              <w:ind w:right="504"/>
              <w:rPr>
                <w:rFonts w:cstheme="minorHAnsi"/>
                <w:bCs/>
                <w:color w:val="000000"/>
              </w:rPr>
            </w:pPr>
            <w:r w:rsidRPr="00E50040">
              <w:rPr>
                <w:rFonts w:cstheme="minorHAnsi"/>
                <w:bCs/>
                <w:color w:val="000000"/>
              </w:rPr>
              <w:lastRenderedPageBreak/>
              <w:t xml:space="preserve">Na koniec podkreślamy konieczność wzrostu kompetencji nauczycieli i edukatorów w systemie oraz stworzenia dla nich zachęt do pozostawania w sektorze.  </w:t>
            </w:r>
          </w:p>
          <w:p w14:paraId="1513AD01"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Jednocześnie zwracamy uwagę, że  im większy będzie poziom kompetencji cyfrowych pracowników </w:t>
            </w:r>
            <w:proofErr w:type="spellStart"/>
            <w:r w:rsidRPr="00E50040">
              <w:rPr>
                <w:rFonts w:cstheme="minorHAnsi"/>
                <w:bCs/>
                <w:color w:val="000000"/>
              </w:rPr>
              <w:t>jst</w:t>
            </w:r>
            <w:proofErr w:type="spellEnd"/>
            <w:r w:rsidRPr="00E50040">
              <w:rPr>
                <w:rFonts w:cstheme="minorHAnsi"/>
                <w:bCs/>
                <w:color w:val="000000"/>
              </w:rPr>
              <w:t xml:space="preserve"> (co jest zasadne) to jednocześnie  tym trudniej będzie zatrzymać pracowników w administracji. </w:t>
            </w:r>
          </w:p>
          <w:p w14:paraId="2EE0AA00"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Autorzy dokumentu mają tego świadomość, ale nie widać w programie  pomysłu na realizację tego stanu rzeczy np. koszt studiów uzależniony od późniejszej pracy w Polsce (chcesz wyjechać musisz zwrócić część odpłatności). Tego rodzaju działania w programie powinny być przewidziane choćby jako cele operacyjne a przynajmniej jako strategiczne, i ten sposób być brane pod uwagę np. w trakcie projektowania nowych aktów prawnych. </w:t>
            </w:r>
          </w:p>
          <w:p w14:paraId="7BE68309" w14:textId="77777777" w:rsidR="00E50040" w:rsidRPr="00E50040" w:rsidRDefault="00E50040" w:rsidP="00971FA8">
            <w:pPr>
              <w:spacing w:before="72"/>
              <w:ind w:right="504"/>
              <w:rPr>
                <w:rFonts w:cstheme="minorHAnsi"/>
                <w:bCs/>
                <w:color w:val="000000"/>
              </w:rPr>
            </w:pPr>
            <w:r w:rsidRPr="00E50040">
              <w:rPr>
                <w:rFonts w:cstheme="minorHAnsi"/>
                <w:bCs/>
                <w:color w:val="000000"/>
              </w:rPr>
              <w:t xml:space="preserve">Na koniec podkreślamy konieczność   wzrostu kompetencji nauczycieli i edukatorów w systemie oraz stworzenia dla nich zachęt do pozostawania w sektorze.  </w:t>
            </w:r>
          </w:p>
          <w:p w14:paraId="553DE395" w14:textId="77777777" w:rsidR="00334F8C" w:rsidRPr="00C7370A" w:rsidRDefault="00334F8C" w:rsidP="00971FA8">
            <w:pPr>
              <w:spacing w:before="72"/>
              <w:ind w:right="504"/>
              <w:rPr>
                <w:rFonts w:cstheme="minorHAnsi"/>
                <w:color w:val="000000"/>
              </w:rPr>
            </w:pPr>
          </w:p>
        </w:tc>
        <w:tc>
          <w:tcPr>
            <w:tcW w:w="3638" w:type="dxa"/>
          </w:tcPr>
          <w:p w14:paraId="4250B9F3" w14:textId="11F217CC" w:rsidR="00E50040" w:rsidRPr="00E50040" w:rsidRDefault="00474912" w:rsidP="00971FA8">
            <w:pPr>
              <w:rPr>
                <w:bCs/>
              </w:rPr>
            </w:pPr>
            <w:r>
              <w:rPr>
                <w:bCs/>
              </w:rPr>
              <w:lastRenderedPageBreak/>
              <w:t>U</w:t>
            </w:r>
            <w:r w:rsidR="001904EF">
              <w:rPr>
                <w:bCs/>
              </w:rPr>
              <w:t>waga u</w:t>
            </w:r>
            <w:r>
              <w:rPr>
                <w:bCs/>
              </w:rPr>
              <w:t>względnion</w:t>
            </w:r>
            <w:r w:rsidR="001904EF">
              <w:rPr>
                <w:bCs/>
              </w:rPr>
              <w:t>a</w:t>
            </w:r>
            <w:r>
              <w:rPr>
                <w:bCs/>
              </w:rPr>
              <w:t xml:space="preserve"> częściowo. W</w:t>
            </w:r>
            <w:r w:rsidR="00E50040" w:rsidRPr="00E50040">
              <w:rPr>
                <w:bCs/>
              </w:rPr>
              <w:t xml:space="preserve"> wyniku realizacji PRKC zostanie przeszkolonych ponad 124 tysiące pracowników JST. Spodziewamy się, że szkolenie pracowników JST będzie się odbywać nie tylko w ramach PRKC, lecz także z inicjatywy samych JST, jak również w ramach programów regionalnych.</w:t>
            </w:r>
          </w:p>
          <w:p w14:paraId="2DFA6B8E" w14:textId="77777777" w:rsidR="00E50040" w:rsidRPr="00E50040" w:rsidRDefault="00E50040" w:rsidP="00971FA8">
            <w:pPr>
              <w:rPr>
                <w:bCs/>
              </w:rPr>
            </w:pPr>
            <w:r w:rsidRPr="00E50040">
              <w:rPr>
                <w:bCs/>
              </w:rPr>
              <w:t>Przewidujemy w ramach działań PRKC powstanie materiałów szkoleniowych i kursów e-learningowych do przeprowadzania samodzielnych szkoleń. Zostaną one zamieszczone na jednej platformie, z której będą mogli korzystać wszyscy, w tym pracownicy JST. Na skutek realizacji kursów e-learningowych wzrośnie liczba osób przeszkolonych.</w:t>
            </w:r>
          </w:p>
          <w:p w14:paraId="7AFCFCFA" w14:textId="77777777" w:rsidR="00E50040" w:rsidRPr="00E50040" w:rsidRDefault="00E50040" w:rsidP="00971FA8">
            <w:pPr>
              <w:rPr>
                <w:bCs/>
              </w:rPr>
            </w:pPr>
            <w:r w:rsidRPr="00E50040">
              <w:rPr>
                <w:bCs/>
              </w:rPr>
              <w:t>Uzależnienie kosztu studiów od późniejszej pracy w Polsce to zagadnienie bardziej ogólne, dotyczące całego systemu kształcenia. Nie  jest przedmiotem PRKC, który koncentruje się na rozwoju kompetencji cyfrowych.</w:t>
            </w:r>
          </w:p>
          <w:p w14:paraId="5681ED38" w14:textId="77777777" w:rsidR="00E50040" w:rsidRPr="00E50040" w:rsidRDefault="00E50040" w:rsidP="00971FA8">
            <w:pPr>
              <w:rPr>
                <w:bCs/>
              </w:rPr>
            </w:pPr>
            <w:r w:rsidRPr="00E50040">
              <w:rPr>
                <w:bCs/>
              </w:rPr>
              <w:t>Wsparcie finansowe którejkolwiek z grup zawodowych, czy budowanie systemu motywacyjnego dla tych grup np. nauczycieli czy pracowników JST leży poza obszarem działań PRKC.</w:t>
            </w:r>
          </w:p>
          <w:p w14:paraId="5176547C" w14:textId="77777777" w:rsidR="00334F8C" w:rsidRDefault="00E50040" w:rsidP="00971FA8">
            <w:r w:rsidRPr="00E50040">
              <w:rPr>
                <w:bCs/>
              </w:rPr>
              <w:lastRenderedPageBreak/>
              <w:t>CRKC jest świadome tych problemów, jednak PRKC nie jest dokumentem właściwym do ich rozwiązania.</w:t>
            </w:r>
          </w:p>
        </w:tc>
      </w:tr>
      <w:tr w:rsidR="00334F8C" w14:paraId="1BDB2663" w14:textId="77777777" w:rsidTr="00681E52">
        <w:tc>
          <w:tcPr>
            <w:tcW w:w="768" w:type="dxa"/>
            <w:vAlign w:val="center"/>
          </w:tcPr>
          <w:p w14:paraId="1F46CFB7" w14:textId="77777777" w:rsidR="00334F8C" w:rsidRDefault="00334F8C" w:rsidP="00971FA8">
            <w:pPr>
              <w:pStyle w:val="Akapitzlist"/>
              <w:numPr>
                <w:ilvl w:val="0"/>
                <w:numId w:val="1"/>
              </w:numPr>
            </w:pPr>
          </w:p>
        </w:tc>
        <w:tc>
          <w:tcPr>
            <w:tcW w:w="2200" w:type="dxa"/>
          </w:tcPr>
          <w:p w14:paraId="7A9B6037" w14:textId="77777777" w:rsidR="00334F8C" w:rsidRDefault="00E50040" w:rsidP="00971FA8">
            <w:r w:rsidRPr="00E50040">
              <w:rPr>
                <w:bCs/>
              </w:rPr>
              <w:t>Unia Metropolii Polskich</w:t>
            </w:r>
          </w:p>
        </w:tc>
        <w:tc>
          <w:tcPr>
            <w:tcW w:w="2686" w:type="dxa"/>
          </w:tcPr>
          <w:p w14:paraId="35C71BC9" w14:textId="77777777" w:rsidR="00E50040" w:rsidRPr="00E50040" w:rsidRDefault="00E50040" w:rsidP="00971FA8">
            <w:pPr>
              <w:rPr>
                <w:bCs/>
              </w:rPr>
            </w:pPr>
            <w:r w:rsidRPr="00E50040">
              <w:rPr>
                <w:bCs/>
              </w:rPr>
              <w:t>5.8 Specjaliści ICT</w:t>
            </w:r>
          </w:p>
          <w:p w14:paraId="3281C6F6" w14:textId="77777777" w:rsidR="00E50040" w:rsidRPr="00E50040" w:rsidRDefault="00E50040" w:rsidP="00971FA8">
            <w:pPr>
              <w:rPr>
                <w:bCs/>
              </w:rPr>
            </w:pPr>
          </w:p>
          <w:p w14:paraId="37BA9625" w14:textId="77777777" w:rsidR="00E50040" w:rsidRPr="00E50040" w:rsidRDefault="00E50040" w:rsidP="00971FA8">
            <w:pPr>
              <w:rPr>
                <w:bCs/>
              </w:rPr>
            </w:pPr>
            <w:r w:rsidRPr="00E50040">
              <w:rPr>
                <w:bCs/>
              </w:rPr>
              <w:t xml:space="preserve">w związku z punktami </w:t>
            </w:r>
          </w:p>
          <w:p w14:paraId="0C1EEDEC" w14:textId="77777777" w:rsidR="00E50040" w:rsidRPr="00E50040" w:rsidRDefault="00E50040" w:rsidP="00971FA8">
            <w:pPr>
              <w:rPr>
                <w:bCs/>
              </w:rPr>
            </w:pPr>
          </w:p>
          <w:p w14:paraId="199A4077" w14:textId="77777777" w:rsidR="00E50040" w:rsidRPr="00E50040" w:rsidRDefault="00E50040" w:rsidP="00971FA8">
            <w:pPr>
              <w:rPr>
                <w:bCs/>
              </w:rPr>
            </w:pPr>
            <w:r w:rsidRPr="00E50040">
              <w:rPr>
                <w:bCs/>
              </w:rPr>
              <w:t>10. Priorytety, cele szczegółowe i działania PRKC</w:t>
            </w:r>
          </w:p>
          <w:p w14:paraId="4DA7E4E1" w14:textId="77777777" w:rsidR="00E50040" w:rsidRPr="00E50040" w:rsidRDefault="00E50040" w:rsidP="00971FA8">
            <w:pPr>
              <w:rPr>
                <w:bCs/>
              </w:rPr>
            </w:pPr>
          </w:p>
          <w:p w14:paraId="3D0468CD" w14:textId="77777777" w:rsidR="00334F8C" w:rsidRDefault="00E50040" w:rsidP="00971FA8">
            <w:r w:rsidRPr="00E50040">
              <w:rPr>
                <w:bCs/>
              </w:rPr>
              <w:t>III.3. Pracownicy sektora publicznego</w:t>
            </w:r>
          </w:p>
        </w:tc>
        <w:tc>
          <w:tcPr>
            <w:tcW w:w="4737" w:type="dxa"/>
          </w:tcPr>
          <w:p w14:paraId="6D354AE0" w14:textId="77777777" w:rsidR="00EE198F" w:rsidRPr="00EE198F" w:rsidRDefault="00EE198F" w:rsidP="00971FA8">
            <w:pPr>
              <w:spacing w:before="72"/>
              <w:ind w:right="504"/>
              <w:rPr>
                <w:rFonts w:cstheme="minorHAnsi"/>
                <w:bCs/>
                <w:color w:val="000000"/>
              </w:rPr>
            </w:pPr>
            <w:r w:rsidRPr="00EE198F">
              <w:rPr>
                <w:rFonts w:cstheme="minorHAnsi"/>
                <w:bCs/>
                <w:color w:val="000000"/>
              </w:rPr>
              <w:lastRenderedPageBreak/>
              <w:t>Słusznie zauważono potrzebę zwiększania liczby specjalistów ICT.</w:t>
            </w:r>
          </w:p>
          <w:p w14:paraId="30865B60" w14:textId="77777777" w:rsidR="00EE198F" w:rsidRPr="00EE198F" w:rsidRDefault="00EE198F" w:rsidP="00971FA8">
            <w:pPr>
              <w:spacing w:before="72"/>
              <w:ind w:right="504"/>
              <w:rPr>
                <w:rFonts w:cstheme="minorHAnsi"/>
                <w:bCs/>
                <w:color w:val="000000"/>
              </w:rPr>
            </w:pPr>
            <w:r w:rsidRPr="00EE198F">
              <w:rPr>
                <w:rFonts w:cstheme="minorHAnsi"/>
                <w:bCs/>
                <w:color w:val="000000"/>
              </w:rPr>
              <w:t>Słusznie zauważono potrzebę zwiększania kompetencji specjalistów ICT.</w:t>
            </w:r>
          </w:p>
          <w:p w14:paraId="2D6C5036" w14:textId="77777777" w:rsidR="00EE198F" w:rsidRPr="00EE198F" w:rsidRDefault="00EE198F" w:rsidP="00971FA8">
            <w:pPr>
              <w:spacing w:before="72"/>
              <w:ind w:right="504"/>
              <w:rPr>
                <w:rFonts w:cstheme="minorHAnsi"/>
                <w:bCs/>
                <w:color w:val="000000"/>
              </w:rPr>
            </w:pPr>
            <w:r w:rsidRPr="00EE198F">
              <w:rPr>
                <w:rFonts w:cstheme="minorHAnsi"/>
                <w:bCs/>
                <w:color w:val="000000"/>
              </w:rPr>
              <w:lastRenderedPageBreak/>
              <w:t>Słusznie zauważano kluczową rolę specjalistów ICT w transformacji cyfrowej kraju.</w:t>
            </w:r>
          </w:p>
          <w:p w14:paraId="2F4DF565" w14:textId="77777777" w:rsidR="00334F8C" w:rsidRDefault="00EE198F" w:rsidP="00971FA8">
            <w:pPr>
              <w:spacing w:before="72"/>
              <w:ind w:right="504"/>
              <w:rPr>
                <w:rFonts w:cstheme="minorHAnsi"/>
                <w:bCs/>
                <w:color w:val="000000"/>
              </w:rPr>
            </w:pPr>
            <w:r w:rsidRPr="00EE198F">
              <w:rPr>
                <w:rFonts w:cstheme="minorHAnsi"/>
                <w:bCs/>
                <w:color w:val="000000"/>
              </w:rPr>
              <w:t xml:space="preserve">Program, poza szkoleniami w dalece niewystarczającej ilości i zakresie, nie proponuje żadnych działań czy wsparcia w celu przyciągania specjalistów ICT do pracy w sektorze publicznym, systemowego wspierania kształcenia specjalistów w celu ich przyszłego zatrudniania w sektorze publicznym (specyfika) i podnoszenia ich kompetencji. Proponujemy opracować i uwzględnić odpowiednia działania i zmiany w przepisach (dot. nie tylko przepisów kształtujących  wynagrodzenia sfery administracji samorządowej ale także systemowe rozwiązania branżowe z zakresu kształcenia na poziomie szkolnictwa wyższego, tak aby uwzględnić specjalizację pracy informatycznej w </w:t>
            </w:r>
            <w:proofErr w:type="spellStart"/>
            <w:r w:rsidRPr="00EE198F">
              <w:rPr>
                <w:rFonts w:cstheme="minorHAnsi"/>
                <w:bCs/>
                <w:color w:val="000000"/>
              </w:rPr>
              <w:t>jst</w:t>
            </w:r>
            <w:proofErr w:type="spellEnd"/>
            <w:r w:rsidRPr="00EE198F">
              <w:rPr>
                <w:rFonts w:cstheme="minorHAnsi"/>
                <w:bCs/>
                <w:color w:val="000000"/>
              </w:rPr>
              <w:t>)</w:t>
            </w:r>
            <w:r>
              <w:rPr>
                <w:rFonts w:cstheme="minorHAnsi"/>
                <w:bCs/>
                <w:color w:val="000000"/>
              </w:rPr>
              <w:t>.</w:t>
            </w:r>
          </w:p>
          <w:p w14:paraId="5CCBEBFF"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Do porównania przeciętne wynagrodzenie brutto w październiku 2020 r. grupy zawodowej specjalistów ICT 10 210 zł a przeciętne miesięczne wynagrodzenie w administracji samorządu terytorialnego 5828,24 zł brutto.</w:t>
            </w:r>
          </w:p>
          <w:p w14:paraId="16297A58" w14:textId="77777777" w:rsidR="00EE198F" w:rsidRPr="00EE198F" w:rsidRDefault="00EE198F" w:rsidP="00971FA8">
            <w:pPr>
              <w:spacing w:before="72"/>
              <w:ind w:right="504"/>
              <w:rPr>
                <w:rFonts w:cstheme="minorHAnsi"/>
                <w:bCs/>
                <w:color w:val="000000"/>
              </w:rPr>
            </w:pPr>
          </w:p>
          <w:p w14:paraId="50473A3D" w14:textId="77777777" w:rsidR="00EE198F" w:rsidRPr="00EE198F" w:rsidRDefault="00EE198F" w:rsidP="00971FA8">
            <w:pPr>
              <w:spacing w:before="72"/>
              <w:ind w:right="504"/>
              <w:rPr>
                <w:rFonts w:cstheme="minorHAnsi"/>
                <w:bCs/>
                <w:color w:val="000000"/>
              </w:rPr>
            </w:pPr>
            <w:r w:rsidRPr="00EE198F">
              <w:rPr>
                <w:rFonts w:cstheme="minorHAnsi"/>
                <w:bCs/>
                <w:color w:val="000000"/>
              </w:rPr>
              <w:t xml:space="preserve">[za autorem] Tylko 3,8% absolwentów uczelni w Polsce kończyło naukę w dziedzinie ICT. W krajach takich jak Estonia, Irlandia i Finlandia odsetek ten wyniósł ponad 7%. Niedobór zaawansowanych </w:t>
            </w:r>
            <w:r w:rsidRPr="00EE198F">
              <w:rPr>
                <w:rFonts w:cstheme="minorHAnsi"/>
                <w:bCs/>
                <w:color w:val="000000"/>
              </w:rPr>
              <w:lastRenderedPageBreak/>
              <w:t>kompetencji cyfrowych stanowi duże ograniczenia dla rozwoju gospodarki cyfrowej, jak również w dziedzinie zastosowań technologii teleinformatycznych w pozostałych sektorach gospodarki i usług publicznych.</w:t>
            </w:r>
          </w:p>
        </w:tc>
        <w:tc>
          <w:tcPr>
            <w:tcW w:w="3638" w:type="dxa"/>
          </w:tcPr>
          <w:p w14:paraId="57921FCF" w14:textId="2A848B19" w:rsidR="00334F8C" w:rsidRDefault="001904EF" w:rsidP="00971FA8">
            <w:r>
              <w:rPr>
                <w:bCs/>
              </w:rPr>
              <w:lastRenderedPageBreak/>
              <w:t>Uwaga nie</w:t>
            </w:r>
            <w:r w:rsidR="00474912">
              <w:rPr>
                <w:bCs/>
              </w:rPr>
              <w:t>uwzględnion</w:t>
            </w:r>
            <w:r>
              <w:rPr>
                <w:bCs/>
              </w:rPr>
              <w:t>a</w:t>
            </w:r>
            <w:r w:rsidR="00474912">
              <w:rPr>
                <w:bCs/>
              </w:rPr>
              <w:t xml:space="preserve">. </w:t>
            </w:r>
            <w:r w:rsidR="00EE198F" w:rsidRPr="00EE198F">
              <w:rPr>
                <w:bCs/>
              </w:rPr>
              <w:t xml:space="preserve">Problem rozbieżności między zarobkami specjalistów ICT a pracowników JST, wsparcie finansowe którejkolwiek z grup zawodowych, czy budowanie systemu motywacyjnego dla tych grup leży poza obszarem działań </w:t>
            </w:r>
            <w:r w:rsidR="00EE198F" w:rsidRPr="00EE198F">
              <w:rPr>
                <w:bCs/>
              </w:rPr>
              <w:lastRenderedPageBreak/>
              <w:t>PRKC. CRKC jest świadome tych problemów, jednak PRKC nie jest dokumentem właściwym do ich rozwiązania.</w:t>
            </w:r>
          </w:p>
        </w:tc>
      </w:tr>
      <w:tr w:rsidR="00E50040" w14:paraId="6819AD23" w14:textId="77777777" w:rsidTr="00681E52">
        <w:tc>
          <w:tcPr>
            <w:tcW w:w="768" w:type="dxa"/>
            <w:vAlign w:val="center"/>
          </w:tcPr>
          <w:p w14:paraId="415C63CE" w14:textId="77777777" w:rsidR="00E50040" w:rsidRDefault="00E50040" w:rsidP="00971FA8">
            <w:pPr>
              <w:pStyle w:val="Akapitzlist"/>
              <w:numPr>
                <w:ilvl w:val="0"/>
                <w:numId w:val="1"/>
              </w:numPr>
            </w:pPr>
          </w:p>
        </w:tc>
        <w:tc>
          <w:tcPr>
            <w:tcW w:w="2200" w:type="dxa"/>
          </w:tcPr>
          <w:p w14:paraId="106DA663" w14:textId="77777777" w:rsidR="00E50040" w:rsidRDefault="00E50040" w:rsidP="00971FA8">
            <w:r w:rsidRPr="00E50040">
              <w:rPr>
                <w:bCs/>
              </w:rPr>
              <w:t>Unia Metropolii Polskich</w:t>
            </w:r>
          </w:p>
        </w:tc>
        <w:tc>
          <w:tcPr>
            <w:tcW w:w="2686" w:type="dxa"/>
          </w:tcPr>
          <w:p w14:paraId="5994E18E" w14:textId="77777777" w:rsidR="00E50040" w:rsidRDefault="00EE198F" w:rsidP="00971FA8">
            <w:r w:rsidRPr="00EE198F">
              <w:rPr>
                <w:bCs/>
              </w:rPr>
              <w:t>Str. 61</w:t>
            </w:r>
          </w:p>
        </w:tc>
        <w:tc>
          <w:tcPr>
            <w:tcW w:w="4737" w:type="dxa"/>
          </w:tcPr>
          <w:p w14:paraId="3F9DEA44" w14:textId="77777777" w:rsidR="00E50040" w:rsidRDefault="00EE198F" w:rsidP="00971FA8">
            <w:pPr>
              <w:spacing w:before="72"/>
              <w:ind w:right="504"/>
              <w:rPr>
                <w:rFonts w:cstheme="minorHAnsi"/>
                <w:color w:val="000000"/>
              </w:rPr>
            </w:pPr>
            <w:r w:rsidRPr="00EE198F">
              <w:rPr>
                <w:rFonts w:cstheme="minorHAnsi"/>
                <w:color w:val="000000"/>
              </w:rPr>
              <w:t xml:space="preserve">W ramach działania opracowane zostaną scenariusze lekcji o </w:t>
            </w:r>
            <w:proofErr w:type="spellStart"/>
            <w:r w:rsidRPr="00EE198F">
              <w:rPr>
                <w:rFonts w:cstheme="minorHAnsi"/>
                <w:color w:val="000000"/>
              </w:rPr>
              <w:t>cyberbezpieczeństwie</w:t>
            </w:r>
            <w:proofErr w:type="spellEnd"/>
            <w:r w:rsidRPr="00EE198F">
              <w:rPr>
                <w:rFonts w:cstheme="minorHAnsi"/>
                <w:color w:val="000000"/>
              </w:rPr>
              <w:t xml:space="preserve"> dla szkół podstawowych i ponadpodstawowych (z uwzględnieniem mechanizmów weryfikujących w praktyce zdobytą wiedze), przeprowadzone zostaną szkolenia dla nauczycieli oraz działania promujące projekt.</w:t>
            </w:r>
          </w:p>
          <w:p w14:paraId="2830F8D6" w14:textId="77777777" w:rsidR="00EE198F" w:rsidRPr="00EE198F" w:rsidRDefault="00EE198F" w:rsidP="00971FA8">
            <w:pPr>
              <w:spacing w:before="72"/>
              <w:ind w:right="504"/>
              <w:rPr>
                <w:rFonts w:cstheme="minorHAnsi"/>
                <w:bCs/>
                <w:color w:val="000000"/>
              </w:rPr>
            </w:pPr>
            <w:r>
              <w:rPr>
                <w:rFonts w:cstheme="minorHAnsi"/>
                <w:color w:val="000000"/>
              </w:rPr>
              <w:t xml:space="preserve">Uzasadnienie: </w:t>
            </w:r>
            <w:r w:rsidRPr="00EE198F">
              <w:rPr>
                <w:rFonts w:cstheme="minorHAnsi"/>
                <w:bCs/>
                <w:color w:val="000000"/>
              </w:rPr>
              <w:t>Brak mechanizmów weryfikujących w praktyce zdobytą wiedze.</w:t>
            </w:r>
          </w:p>
          <w:p w14:paraId="79C7042D" w14:textId="77777777" w:rsidR="00EE198F" w:rsidRPr="00C7370A" w:rsidRDefault="00EE198F" w:rsidP="00971FA8">
            <w:pPr>
              <w:spacing w:before="72"/>
              <w:ind w:right="504"/>
              <w:rPr>
                <w:rFonts w:cstheme="minorHAnsi"/>
                <w:color w:val="000000"/>
              </w:rPr>
            </w:pPr>
            <w:r w:rsidRPr="00EE198F">
              <w:rPr>
                <w:rFonts w:cstheme="minorHAnsi"/>
                <w:bCs/>
                <w:color w:val="000000"/>
              </w:rPr>
              <w:t>Generalna uwaga do wszystkich działań związanych z edukacja.</w:t>
            </w:r>
          </w:p>
        </w:tc>
        <w:tc>
          <w:tcPr>
            <w:tcW w:w="3638" w:type="dxa"/>
          </w:tcPr>
          <w:p w14:paraId="418B8CD4" w14:textId="77777777" w:rsidR="001904EF" w:rsidRDefault="001904EF" w:rsidP="00971FA8">
            <w:pPr>
              <w:rPr>
                <w:bCs/>
              </w:rPr>
            </w:pPr>
            <w:r>
              <w:rPr>
                <w:bCs/>
              </w:rPr>
              <w:t>Uwaga nieuwzględniona</w:t>
            </w:r>
            <w:r w:rsidR="006E771F">
              <w:rPr>
                <w:bCs/>
              </w:rPr>
              <w:t xml:space="preserve">. </w:t>
            </w:r>
          </w:p>
          <w:p w14:paraId="62F83BC4" w14:textId="14D4C4B8" w:rsidR="00E50040" w:rsidRDefault="00EE198F" w:rsidP="00971FA8">
            <w:r w:rsidRPr="00EE198F">
              <w:rPr>
                <w:bCs/>
              </w:rPr>
              <w:t>Ze względu na różnorodność działań nie przewidujemy wprowadzania mechanizmów weryfikujących wiedzę na poziomie całego PRKC, tylko na poziomie poszczególnych działań, w zależności od ich specyfiki oraz specyfiki grupy docelowej.</w:t>
            </w:r>
          </w:p>
        </w:tc>
      </w:tr>
      <w:tr w:rsidR="00334F8C" w14:paraId="07904A15" w14:textId="77777777" w:rsidTr="00681E52">
        <w:tc>
          <w:tcPr>
            <w:tcW w:w="768" w:type="dxa"/>
            <w:vAlign w:val="center"/>
          </w:tcPr>
          <w:p w14:paraId="3C13F6E0" w14:textId="77777777" w:rsidR="00334F8C" w:rsidRDefault="00334F8C" w:rsidP="00971FA8">
            <w:pPr>
              <w:pStyle w:val="Akapitzlist"/>
              <w:numPr>
                <w:ilvl w:val="0"/>
                <w:numId w:val="1"/>
              </w:numPr>
            </w:pPr>
          </w:p>
        </w:tc>
        <w:tc>
          <w:tcPr>
            <w:tcW w:w="2200" w:type="dxa"/>
          </w:tcPr>
          <w:p w14:paraId="64F2BD13" w14:textId="77777777" w:rsidR="00334F8C" w:rsidRDefault="00E50040" w:rsidP="00971FA8">
            <w:r w:rsidRPr="00E50040">
              <w:rPr>
                <w:bCs/>
              </w:rPr>
              <w:t>Unia Metropolii Polskich</w:t>
            </w:r>
          </w:p>
        </w:tc>
        <w:tc>
          <w:tcPr>
            <w:tcW w:w="2686" w:type="dxa"/>
          </w:tcPr>
          <w:p w14:paraId="4F4C699A" w14:textId="77777777" w:rsidR="00334F8C" w:rsidRDefault="00EE198F" w:rsidP="00971FA8">
            <w:r w:rsidRPr="00EE198F">
              <w:rPr>
                <w:bCs/>
              </w:rPr>
              <w:t>Str. 92 i kolejne</w:t>
            </w:r>
          </w:p>
        </w:tc>
        <w:tc>
          <w:tcPr>
            <w:tcW w:w="4737" w:type="dxa"/>
          </w:tcPr>
          <w:p w14:paraId="417C21C5" w14:textId="77777777" w:rsidR="00334F8C" w:rsidRDefault="00EE198F" w:rsidP="00971FA8">
            <w:pPr>
              <w:spacing w:before="72"/>
              <w:ind w:right="504"/>
              <w:rPr>
                <w:rFonts w:cstheme="minorHAnsi"/>
                <w:color w:val="000000"/>
              </w:rPr>
            </w:pPr>
            <w:r w:rsidRPr="00EE198F">
              <w:rPr>
                <w:rFonts w:cstheme="minorHAnsi"/>
                <w:color w:val="000000"/>
              </w:rPr>
              <w:t>Wprowadzenie definicji GOK</w:t>
            </w:r>
            <w:r>
              <w:rPr>
                <w:rFonts w:cstheme="minorHAnsi"/>
                <w:color w:val="000000"/>
              </w:rPr>
              <w:t>.</w:t>
            </w:r>
          </w:p>
          <w:p w14:paraId="522860D3"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bCs/>
                <w:color w:val="000000"/>
              </w:rPr>
              <w:t>GOK to gminny ośrodek kultury, tymczasem w opisach działań Cyfryzacji GOK-ów zostają przywołane gminne samorządowe instytucje kultury, czyli pojęcia szersze. Wydaje się zasadne zdefiniowanie pojęcia na początku dokumentu, celem rozstrzygnięcia wątpliwości interpretacyjnych, które z instytucji zostają objęte cyfryzacją.</w:t>
            </w:r>
          </w:p>
        </w:tc>
        <w:tc>
          <w:tcPr>
            <w:tcW w:w="3638" w:type="dxa"/>
          </w:tcPr>
          <w:p w14:paraId="72176BD2" w14:textId="0D2FF29A" w:rsidR="00334F8C" w:rsidRDefault="00EE198F" w:rsidP="00971FA8">
            <w:r>
              <w:t>U</w:t>
            </w:r>
            <w:r w:rsidR="001904EF">
              <w:t>waga u</w:t>
            </w:r>
            <w:r>
              <w:t>względnion</w:t>
            </w:r>
            <w:r w:rsidR="001904EF">
              <w:t>a</w:t>
            </w:r>
            <w:r w:rsidR="00686752">
              <w:t>.</w:t>
            </w:r>
          </w:p>
        </w:tc>
      </w:tr>
      <w:tr w:rsidR="00E50040" w14:paraId="66640D99" w14:textId="77777777" w:rsidTr="00681E52">
        <w:tc>
          <w:tcPr>
            <w:tcW w:w="768" w:type="dxa"/>
            <w:vAlign w:val="center"/>
          </w:tcPr>
          <w:p w14:paraId="4576C598" w14:textId="77777777" w:rsidR="00E50040" w:rsidRDefault="00E50040" w:rsidP="00971FA8">
            <w:pPr>
              <w:pStyle w:val="Akapitzlist"/>
              <w:numPr>
                <w:ilvl w:val="0"/>
                <w:numId w:val="1"/>
              </w:numPr>
            </w:pPr>
          </w:p>
        </w:tc>
        <w:tc>
          <w:tcPr>
            <w:tcW w:w="2200" w:type="dxa"/>
          </w:tcPr>
          <w:p w14:paraId="78873A5F" w14:textId="77777777" w:rsidR="00E50040" w:rsidRDefault="00E50040" w:rsidP="00971FA8">
            <w:r w:rsidRPr="00E50040">
              <w:rPr>
                <w:bCs/>
              </w:rPr>
              <w:t>Unia Metropolii Polskich</w:t>
            </w:r>
          </w:p>
        </w:tc>
        <w:tc>
          <w:tcPr>
            <w:tcW w:w="2686" w:type="dxa"/>
          </w:tcPr>
          <w:p w14:paraId="76D74CC3" w14:textId="77777777" w:rsidR="00E50040" w:rsidRDefault="00EE198F" w:rsidP="00971FA8">
            <w:r w:rsidRPr="00EE198F">
              <w:rPr>
                <w:bCs/>
              </w:rPr>
              <w:t>strona 146-147 pkt 12</w:t>
            </w:r>
          </w:p>
        </w:tc>
        <w:tc>
          <w:tcPr>
            <w:tcW w:w="4737" w:type="dxa"/>
          </w:tcPr>
          <w:p w14:paraId="3CA8D797" w14:textId="77777777" w:rsidR="00E50040" w:rsidRDefault="00EE198F" w:rsidP="00971FA8">
            <w:pPr>
              <w:spacing w:before="72"/>
              <w:ind w:right="504"/>
              <w:rPr>
                <w:rFonts w:cstheme="minorHAnsi"/>
                <w:color w:val="000000"/>
              </w:rPr>
            </w:pPr>
            <w:r w:rsidRPr="00EE198F">
              <w:rPr>
                <w:rFonts w:cstheme="minorHAnsi"/>
                <w:color w:val="000000"/>
              </w:rPr>
              <w:t xml:space="preserve">wśród mierników jest „Liczba pracowników administracji publicznej, które nabyły </w:t>
            </w:r>
            <w:r w:rsidRPr="00EE198F">
              <w:rPr>
                <w:rFonts w:cstheme="minorHAnsi"/>
                <w:color w:val="000000"/>
              </w:rPr>
              <w:lastRenderedPageBreak/>
              <w:t>kompetencje w zakresie obsługi EZD RP i innych systemów teleinformatycznych"</w:t>
            </w:r>
          </w:p>
          <w:p w14:paraId="34639459"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bCs/>
                <w:color w:val="000000"/>
              </w:rPr>
              <w:t>Nie ma ani celu szczegółowego z tym bezpośrednio związanego ani propozycji tematu szkoleń.</w:t>
            </w:r>
          </w:p>
        </w:tc>
        <w:tc>
          <w:tcPr>
            <w:tcW w:w="3638" w:type="dxa"/>
          </w:tcPr>
          <w:p w14:paraId="1F5BD5AC" w14:textId="77777777" w:rsidR="001904EF" w:rsidRDefault="00EE198F" w:rsidP="00971FA8">
            <w:pPr>
              <w:rPr>
                <w:bCs/>
              </w:rPr>
            </w:pPr>
            <w:r w:rsidRPr="00EE198F">
              <w:rPr>
                <w:bCs/>
              </w:rPr>
              <w:lastRenderedPageBreak/>
              <w:t>U</w:t>
            </w:r>
            <w:r w:rsidR="001904EF">
              <w:rPr>
                <w:bCs/>
              </w:rPr>
              <w:t>waga u</w:t>
            </w:r>
            <w:r w:rsidRPr="00EE198F">
              <w:rPr>
                <w:bCs/>
              </w:rPr>
              <w:t>względnion</w:t>
            </w:r>
            <w:r w:rsidR="001904EF">
              <w:rPr>
                <w:bCs/>
              </w:rPr>
              <w:t>a</w:t>
            </w:r>
            <w:r w:rsidRPr="00EE198F">
              <w:rPr>
                <w:bCs/>
              </w:rPr>
              <w:t xml:space="preserve">. </w:t>
            </w:r>
          </w:p>
          <w:p w14:paraId="6B3EE1A9" w14:textId="5647E653" w:rsidR="00E50040" w:rsidRDefault="00EE198F" w:rsidP="00971FA8">
            <w:r w:rsidRPr="00EE198F">
              <w:rPr>
                <w:bCs/>
              </w:rPr>
              <w:t>Z OSR do uchwały usunięto miernik.</w:t>
            </w:r>
          </w:p>
        </w:tc>
      </w:tr>
      <w:tr w:rsidR="00627052" w14:paraId="09BCD167" w14:textId="77777777" w:rsidTr="00681E52">
        <w:tc>
          <w:tcPr>
            <w:tcW w:w="768" w:type="dxa"/>
            <w:vAlign w:val="center"/>
          </w:tcPr>
          <w:p w14:paraId="276A9481" w14:textId="77777777" w:rsidR="00627052" w:rsidRDefault="00627052" w:rsidP="00971FA8">
            <w:pPr>
              <w:pStyle w:val="Akapitzlist"/>
              <w:numPr>
                <w:ilvl w:val="0"/>
                <w:numId w:val="1"/>
              </w:numPr>
            </w:pPr>
          </w:p>
        </w:tc>
        <w:tc>
          <w:tcPr>
            <w:tcW w:w="2200" w:type="dxa"/>
          </w:tcPr>
          <w:p w14:paraId="3ECFDE3F" w14:textId="77777777" w:rsidR="00627052" w:rsidRDefault="00E50040" w:rsidP="00971FA8">
            <w:r w:rsidRPr="00E50040">
              <w:rPr>
                <w:bCs/>
              </w:rPr>
              <w:t>Unia Metropolii Polskich</w:t>
            </w:r>
          </w:p>
        </w:tc>
        <w:tc>
          <w:tcPr>
            <w:tcW w:w="2686" w:type="dxa"/>
          </w:tcPr>
          <w:p w14:paraId="478DF85E" w14:textId="77777777" w:rsidR="00627052" w:rsidRDefault="00EE198F" w:rsidP="00971FA8">
            <w:r w:rsidRPr="00EE198F">
              <w:rPr>
                <w:bCs/>
              </w:rPr>
              <w:t>III.3.2.Szkolenie pracowników JST z otwierania danych publicznych</w:t>
            </w:r>
          </w:p>
        </w:tc>
        <w:tc>
          <w:tcPr>
            <w:tcW w:w="4737" w:type="dxa"/>
          </w:tcPr>
          <w:p w14:paraId="2C7E140D" w14:textId="77777777" w:rsidR="00627052" w:rsidRDefault="00EE198F" w:rsidP="00971FA8">
            <w:pPr>
              <w:spacing w:before="72"/>
              <w:ind w:right="504"/>
              <w:rPr>
                <w:rFonts w:cstheme="minorHAnsi"/>
                <w:color w:val="000000"/>
              </w:rPr>
            </w:pPr>
            <w:r w:rsidRPr="00EE198F">
              <w:rPr>
                <w:rFonts w:cstheme="minorHAnsi"/>
                <w:color w:val="000000"/>
              </w:rPr>
              <w:t xml:space="preserve">Liczba osób przeszkolonych - wartość w 2030 r. lub na zakończenie działania </w:t>
            </w:r>
            <w:r>
              <w:rPr>
                <w:rFonts w:cstheme="minorHAnsi"/>
                <w:color w:val="000000"/>
              </w:rPr>
              <w:t>–</w:t>
            </w:r>
            <w:r w:rsidRPr="00EE198F">
              <w:rPr>
                <w:rFonts w:cstheme="minorHAnsi"/>
                <w:color w:val="000000"/>
              </w:rPr>
              <w:t xml:space="preserve"> 60</w:t>
            </w:r>
            <w:r>
              <w:rPr>
                <w:rFonts w:cstheme="minorHAnsi"/>
                <w:color w:val="000000"/>
              </w:rPr>
              <w:t>.</w:t>
            </w:r>
          </w:p>
          <w:p w14:paraId="7BD411C2"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bCs/>
                <w:color w:val="000000"/>
              </w:rPr>
              <w:t>Monitorowanie i ewaluacja - umieszczono wskaźniki dla monitorowania realizacji poszczególnych zadań Programu Rozwoju Kompetencji Cyfrowych. Jednym z wskaźników jest liczba osób, które zostaną objęte szkoleniami do roku 2030 lub do czasu zakończenia poszczególnych zadań i tak np. z zakresu szkoleń, które dotyczą pracowników administracji publicznej w większości przypadków wydaje się, że liczba pracowników, która jest planowana do przeszkolenia, jest niewystarczająca.</w:t>
            </w:r>
          </w:p>
        </w:tc>
        <w:tc>
          <w:tcPr>
            <w:tcW w:w="3638" w:type="dxa"/>
          </w:tcPr>
          <w:p w14:paraId="11BA33EB" w14:textId="0B1A1770" w:rsidR="00EE198F" w:rsidRPr="00EE198F" w:rsidRDefault="006E771F" w:rsidP="00971FA8">
            <w:pPr>
              <w:rPr>
                <w:bCs/>
              </w:rPr>
            </w:pPr>
            <w:r>
              <w:rPr>
                <w:bCs/>
              </w:rPr>
              <w:t>U</w:t>
            </w:r>
            <w:r w:rsidR="001904EF">
              <w:rPr>
                <w:bCs/>
              </w:rPr>
              <w:t>waga u</w:t>
            </w:r>
            <w:r>
              <w:rPr>
                <w:bCs/>
              </w:rPr>
              <w:t>względnion</w:t>
            </w:r>
            <w:r w:rsidR="001904EF">
              <w:rPr>
                <w:bCs/>
              </w:rPr>
              <w:t>a</w:t>
            </w:r>
            <w:r>
              <w:rPr>
                <w:bCs/>
              </w:rPr>
              <w:t xml:space="preserve"> częściowo. W</w:t>
            </w:r>
            <w:r w:rsidRPr="00E50040">
              <w:rPr>
                <w:bCs/>
              </w:rPr>
              <w:t xml:space="preserve"> wyniku realizacji PRKC </w:t>
            </w:r>
            <w:r w:rsidR="00EE198F" w:rsidRPr="00EE198F">
              <w:rPr>
                <w:bCs/>
              </w:rPr>
              <w:t>zostanie przeszkolonych ponad 124 tysiące pracowników JST. Spodziewamy się, że szkolenie pracowników JST będzie się odbywać nie tylko w ramach PRKC, lecz także z inicjatywy samych JST, jak również w ramach programów regionalnych.</w:t>
            </w:r>
          </w:p>
          <w:p w14:paraId="2F667C57" w14:textId="77777777" w:rsidR="00627052" w:rsidRDefault="00EE198F" w:rsidP="00971FA8">
            <w:r w:rsidRPr="00EE198F">
              <w:rPr>
                <w:bCs/>
              </w:rPr>
              <w:t>Przewidujemy w ramach działań PRKC powstanie materiałów szkoleniowych i kursów e-learningowych do przeprowadzania samodzielnych szkoleń. Zostaną one zamieszczone na jednej platformie, z której będą mogli korzystać wszyscy, w tym pracownicy JST. Na skutek realizacji kursów e-learningowych wzrośnie liczba osób przeszkolonych.</w:t>
            </w:r>
          </w:p>
        </w:tc>
      </w:tr>
      <w:tr w:rsidR="00E50040" w14:paraId="5B039630" w14:textId="77777777" w:rsidTr="00681E52">
        <w:tc>
          <w:tcPr>
            <w:tcW w:w="768" w:type="dxa"/>
            <w:vAlign w:val="center"/>
          </w:tcPr>
          <w:p w14:paraId="2BBA0DF2" w14:textId="77777777" w:rsidR="00E50040" w:rsidRDefault="00E50040" w:rsidP="00971FA8">
            <w:pPr>
              <w:pStyle w:val="Akapitzlist"/>
              <w:numPr>
                <w:ilvl w:val="0"/>
                <w:numId w:val="1"/>
              </w:numPr>
            </w:pPr>
          </w:p>
        </w:tc>
        <w:tc>
          <w:tcPr>
            <w:tcW w:w="2200" w:type="dxa"/>
          </w:tcPr>
          <w:p w14:paraId="1BB5D93A" w14:textId="77777777" w:rsidR="00E50040" w:rsidRDefault="00EE198F" w:rsidP="00971FA8">
            <w:r w:rsidRPr="00EE198F">
              <w:rPr>
                <w:bCs/>
              </w:rPr>
              <w:t>Unia Metropolii Polskich</w:t>
            </w:r>
          </w:p>
        </w:tc>
        <w:tc>
          <w:tcPr>
            <w:tcW w:w="2686" w:type="dxa"/>
          </w:tcPr>
          <w:p w14:paraId="2A5B5785" w14:textId="77777777" w:rsidR="00E50040" w:rsidRDefault="00EE198F" w:rsidP="00971FA8">
            <w:r w:rsidRPr="00EE198F">
              <w:rPr>
                <w:bCs/>
              </w:rPr>
              <w:t>III.3.3. Szkolenia dla pracowników administracji publicznej w zakresie zarządzania i koordynowania dostępności cyfrowej w projektach</w:t>
            </w:r>
          </w:p>
        </w:tc>
        <w:tc>
          <w:tcPr>
            <w:tcW w:w="4737" w:type="dxa"/>
          </w:tcPr>
          <w:p w14:paraId="0D394DCE" w14:textId="77777777" w:rsidR="00E50040" w:rsidRDefault="00EE198F" w:rsidP="00971FA8">
            <w:pPr>
              <w:spacing w:before="72"/>
              <w:ind w:right="504"/>
              <w:rPr>
                <w:rFonts w:cstheme="minorHAnsi"/>
                <w:color w:val="000000"/>
              </w:rPr>
            </w:pPr>
            <w:r w:rsidRPr="00EE198F">
              <w:rPr>
                <w:rFonts w:cstheme="minorHAnsi"/>
                <w:color w:val="000000"/>
              </w:rPr>
              <w:t xml:space="preserve">Liczba osób przeszkolonych - wartość w 2030 r. lub na zakończenie działania </w:t>
            </w:r>
            <w:r>
              <w:rPr>
                <w:rFonts w:cstheme="minorHAnsi"/>
                <w:color w:val="000000"/>
              </w:rPr>
              <w:t>–</w:t>
            </w:r>
            <w:r w:rsidRPr="00EE198F">
              <w:rPr>
                <w:rFonts w:cstheme="minorHAnsi"/>
                <w:color w:val="000000"/>
              </w:rPr>
              <w:t xml:space="preserve"> 350</w:t>
            </w:r>
            <w:r>
              <w:rPr>
                <w:rFonts w:cstheme="minorHAnsi"/>
                <w:color w:val="000000"/>
              </w:rPr>
              <w:t>.</w:t>
            </w:r>
          </w:p>
          <w:p w14:paraId="6A6A8C0F"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bCs/>
                <w:color w:val="000000"/>
              </w:rPr>
              <w:t xml:space="preserve">Monitorowanie i ewaluacja - umieszczono wskaźniki dla monitorowania realizacji poszczególnych zadań Programu Rozwoju Kompetencji Cyfrowych. Jednym z wskaźników jest liczba osób, które zostaną objęte szkoleniami do roku 2030 lub do </w:t>
            </w:r>
            <w:r w:rsidRPr="00EE198F">
              <w:rPr>
                <w:rFonts w:cstheme="minorHAnsi"/>
                <w:bCs/>
                <w:color w:val="000000"/>
              </w:rPr>
              <w:lastRenderedPageBreak/>
              <w:t>czasu zakończenia poszczególnych zadań i tak np. z zakresu szkoleń, które dotyczą pracowników administracji publicznej w większości przypadków wydaje się, że liczba pracowników, która jest planowana do przeszkolenia, jest niewystarczająca.</w:t>
            </w:r>
          </w:p>
        </w:tc>
        <w:tc>
          <w:tcPr>
            <w:tcW w:w="3638" w:type="dxa"/>
          </w:tcPr>
          <w:p w14:paraId="148C0C72" w14:textId="52641A38" w:rsidR="00EE198F" w:rsidRPr="00EE198F" w:rsidRDefault="006E771F" w:rsidP="00971FA8">
            <w:pPr>
              <w:rPr>
                <w:bCs/>
              </w:rPr>
            </w:pPr>
            <w:r>
              <w:rPr>
                <w:bCs/>
              </w:rPr>
              <w:lastRenderedPageBreak/>
              <w:t>U</w:t>
            </w:r>
            <w:r w:rsidR="001904EF">
              <w:rPr>
                <w:bCs/>
              </w:rPr>
              <w:t>waga u</w:t>
            </w:r>
            <w:r>
              <w:rPr>
                <w:bCs/>
              </w:rPr>
              <w:t>względnion</w:t>
            </w:r>
            <w:r w:rsidR="001904EF">
              <w:rPr>
                <w:bCs/>
              </w:rPr>
              <w:t>a</w:t>
            </w:r>
            <w:r>
              <w:rPr>
                <w:bCs/>
              </w:rPr>
              <w:t xml:space="preserve"> częściowo. W</w:t>
            </w:r>
            <w:r w:rsidRPr="00E50040">
              <w:rPr>
                <w:bCs/>
              </w:rPr>
              <w:t xml:space="preserve"> wyniku realizacji PRKC </w:t>
            </w:r>
            <w:r w:rsidR="00EE198F" w:rsidRPr="00EE198F">
              <w:rPr>
                <w:bCs/>
              </w:rPr>
              <w:t>zostanie przeszkolonych ponad 124 tysiące pracowników JST. Spodziewamy się, że szkolenie pracowników JST będzie się odbywać nie tylko w ramach PRKC, lecz także z inicjatywy samych JST, jak również w ramach programów regionalnych.</w:t>
            </w:r>
          </w:p>
          <w:p w14:paraId="5BC62197" w14:textId="77777777" w:rsidR="00E50040" w:rsidRDefault="00EE198F" w:rsidP="00971FA8">
            <w:r w:rsidRPr="00EE198F">
              <w:rPr>
                <w:bCs/>
              </w:rPr>
              <w:lastRenderedPageBreak/>
              <w:t>Przewidujemy w ramach działań PRKC powstanie materiałów szkoleniowych i kursów e-learningowych do przeprowadzania samodzielnych szkoleń. Zostaną one zamieszczone na jednej platformie, z której będą mogli korzystać wszyscy, w tym pracownicy JST. Na skutek realizacji kursów e-learningowych wzrośnie liczba osób przeszkolonych.</w:t>
            </w:r>
          </w:p>
        </w:tc>
      </w:tr>
      <w:tr w:rsidR="00627052" w14:paraId="056B6A75" w14:textId="77777777" w:rsidTr="00681E52">
        <w:tc>
          <w:tcPr>
            <w:tcW w:w="768" w:type="dxa"/>
            <w:vAlign w:val="center"/>
          </w:tcPr>
          <w:p w14:paraId="33A5A4B4" w14:textId="77777777" w:rsidR="00627052" w:rsidRDefault="00627052" w:rsidP="00971FA8">
            <w:pPr>
              <w:pStyle w:val="Akapitzlist"/>
              <w:numPr>
                <w:ilvl w:val="0"/>
                <w:numId w:val="1"/>
              </w:numPr>
            </w:pPr>
          </w:p>
        </w:tc>
        <w:tc>
          <w:tcPr>
            <w:tcW w:w="2200" w:type="dxa"/>
          </w:tcPr>
          <w:p w14:paraId="74AC4B21" w14:textId="77777777" w:rsidR="00627052" w:rsidRDefault="00EE198F" w:rsidP="00971FA8">
            <w:r w:rsidRPr="00EE198F">
              <w:rPr>
                <w:bCs/>
              </w:rPr>
              <w:t>Unia Metropolii Polskich</w:t>
            </w:r>
          </w:p>
        </w:tc>
        <w:tc>
          <w:tcPr>
            <w:tcW w:w="2686" w:type="dxa"/>
          </w:tcPr>
          <w:p w14:paraId="10CB249B" w14:textId="77777777" w:rsidR="00627052" w:rsidRDefault="00EE198F" w:rsidP="00971FA8">
            <w:r w:rsidRPr="00EE198F">
              <w:rPr>
                <w:bCs/>
              </w:rPr>
              <w:t>III.3.8.Przyjazny urząd – szkolenia z zakresu dostępności cyfrowej</w:t>
            </w:r>
          </w:p>
        </w:tc>
        <w:tc>
          <w:tcPr>
            <w:tcW w:w="4737" w:type="dxa"/>
          </w:tcPr>
          <w:p w14:paraId="5C480C46" w14:textId="77777777" w:rsidR="00627052" w:rsidRDefault="00EE198F" w:rsidP="00971FA8">
            <w:pPr>
              <w:spacing w:before="72"/>
              <w:ind w:right="504"/>
              <w:rPr>
                <w:rFonts w:cstheme="minorHAnsi"/>
                <w:color w:val="000000"/>
              </w:rPr>
            </w:pPr>
            <w:r w:rsidRPr="00EE198F">
              <w:rPr>
                <w:rFonts w:cstheme="minorHAnsi"/>
                <w:color w:val="000000"/>
              </w:rPr>
              <w:t xml:space="preserve">Liczba osób przeszkolonych - wartość w 2030 r. lub na zakończenie działania </w:t>
            </w:r>
            <w:r>
              <w:rPr>
                <w:rFonts w:cstheme="minorHAnsi"/>
                <w:color w:val="000000"/>
              </w:rPr>
              <w:t>–</w:t>
            </w:r>
            <w:r w:rsidRPr="00EE198F">
              <w:rPr>
                <w:rFonts w:cstheme="minorHAnsi"/>
                <w:color w:val="000000"/>
              </w:rPr>
              <w:t xml:space="preserve"> 1300</w:t>
            </w:r>
            <w:r>
              <w:rPr>
                <w:rFonts w:cstheme="minorHAnsi"/>
                <w:color w:val="000000"/>
              </w:rPr>
              <w:t>.</w:t>
            </w:r>
          </w:p>
          <w:p w14:paraId="530BBB96"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bCs/>
                <w:color w:val="000000"/>
              </w:rPr>
              <w:t>Monitorowanie i ewaluacja umieszczono wskaźniki dla monitorowania realizacji poszczególnych zadań Programu Rozwoju Kompetencji Cyfrowych. Jednym z wskaźników jest liczba osób, które zostaną objęte szkoleniami do roku 2030 lub do czasu zakończenia poszczególnych zadań i tak np. z zakresu szkoleń, które dotyczą pracowników administracji publicznej w większości przypadków wydaje się, że liczba pracowników, która jest planowana do przeszkolenia, jest niewystarczająca.</w:t>
            </w:r>
          </w:p>
        </w:tc>
        <w:tc>
          <w:tcPr>
            <w:tcW w:w="3638" w:type="dxa"/>
          </w:tcPr>
          <w:p w14:paraId="04284163" w14:textId="36FF241B" w:rsidR="00EE198F" w:rsidRPr="00EE198F" w:rsidRDefault="006E771F" w:rsidP="00971FA8">
            <w:pPr>
              <w:rPr>
                <w:bCs/>
              </w:rPr>
            </w:pPr>
            <w:r>
              <w:rPr>
                <w:bCs/>
              </w:rPr>
              <w:t>U</w:t>
            </w:r>
            <w:r w:rsidR="001904EF">
              <w:rPr>
                <w:bCs/>
              </w:rPr>
              <w:t>waga u</w:t>
            </w:r>
            <w:r>
              <w:rPr>
                <w:bCs/>
              </w:rPr>
              <w:t>względnion</w:t>
            </w:r>
            <w:r w:rsidR="001904EF">
              <w:rPr>
                <w:bCs/>
              </w:rPr>
              <w:t>a</w:t>
            </w:r>
            <w:r>
              <w:rPr>
                <w:bCs/>
              </w:rPr>
              <w:t xml:space="preserve"> częściowo. W</w:t>
            </w:r>
            <w:r w:rsidRPr="00E50040">
              <w:rPr>
                <w:bCs/>
              </w:rPr>
              <w:t xml:space="preserve"> wyniku realizacji PRKC </w:t>
            </w:r>
            <w:r w:rsidR="00EE198F" w:rsidRPr="00EE198F">
              <w:rPr>
                <w:bCs/>
              </w:rPr>
              <w:t>zostanie przeszkolonych ponad 124 tysiące pracowników JST. Spodziewamy się, że szkolenie pracowników JST będzie się odbywać nie tylko w ramach PRKC, lecz także z inicjatywy samych JST, jak również w ramach programów regionalnych.</w:t>
            </w:r>
          </w:p>
          <w:p w14:paraId="176128EB" w14:textId="77777777" w:rsidR="00627052" w:rsidRDefault="00EE198F" w:rsidP="00971FA8">
            <w:r w:rsidRPr="00EE198F">
              <w:rPr>
                <w:bCs/>
              </w:rPr>
              <w:t>Przewidujemy w ramach działań PRKC powstanie materiałów szkoleniowych i kursów e-learningowych do przeprowadzania samodzielnych szkoleń. Zostaną one zamieszczone na jednej platformie, z której będą mogli korzystać wszyscy, w tym pracownicy JST. Na skutek realizacji kursów e-learningowych wzrośnie liczba osób przeszkolonych.</w:t>
            </w:r>
          </w:p>
        </w:tc>
      </w:tr>
      <w:tr w:rsidR="00EE198F" w14:paraId="0D0959C2" w14:textId="77777777" w:rsidTr="00681E52">
        <w:tc>
          <w:tcPr>
            <w:tcW w:w="768" w:type="dxa"/>
            <w:vAlign w:val="center"/>
          </w:tcPr>
          <w:p w14:paraId="04DFCEFE" w14:textId="77777777" w:rsidR="00EE198F" w:rsidRDefault="00EE198F" w:rsidP="00971FA8">
            <w:pPr>
              <w:pStyle w:val="Akapitzlist"/>
              <w:numPr>
                <w:ilvl w:val="0"/>
                <w:numId w:val="1"/>
              </w:numPr>
            </w:pPr>
          </w:p>
        </w:tc>
        <w:tc>
          <w:tcPr>
            <w:tcW w:w="2200" w:type="dxa"/>
          </w:tcPr>
          <w:p w14:paraId="19149A80" w14:textId="77777777" w:rsidR="00EE198F" w:rsidRDefault="00EE198F" w:rsidP="00971FA8">
            <w:r w:rsidRPr="00EE198F">
              <w:rPr>
                <w:bCs/>
              </w:rPr>
              <w:t>Unia Metropolii Polskich</w:t>
            </w:r>
          </w:p>
        </w:tc>
        <w:tc>
          <w:tcPr>
            <w:tcW w:w="2686" w:type="dxa"/>
          </w:tcPr>
          <w:p w14:paraId="4677EB21" w14:textId="77777777" w:rsidR="00EE198F" w:rsidRDefault="00EE198F" w:rsidP="00971FA8">
            <w:r w:rsidRPr="00EE198F">
              <w:rPr>
                <w:bCs/>
              </w:rPr>
              <w:t xml:space="preserve">III.3.9.Dostępność cyfrowa stron jednostek samorządu terytorialnego – zasoby, szkolenia, </w:t>
            </w:r>
            <w:proofErr w:type="spellStart"/>
            <w:r w:rsidRPr="00EE198F">
              <w:rPr>
                <w:bCs/>
              </w:rPr>
              <w:t>walidatory</w:t>
            </w:r>
            <w:proofErr w:type="spellEnd"/>
            <w:r w:rsidRPr="00EE198F">
              <w:rPr>
                <w:bCs/>
              </w:rPr>
              <w:t>.</w:t>
            </w:r>
          </w:p>
        </w:tc>
        <w:tc>
          <w:tcPr>
            <w:tcW w:w="4737" w:type="dxa"/>
          </w:tcPr>
          <w:p w14:paraId="01842789" w14:textId="77777777" w:rsidR="00EE198F" w:rsidRDefault="00EE198F" w:rsidP="00971FA8">
            <w:pPr>
              <w:spacing w:before="72"/>
              <w:ind w:right="504"/>
              <w:rPr>
                <w:rFonts w:cstheme="minorHAnsi"/>
                <w:color w:val="000000"/>
              </w:rPr>
            </w:pPr>
            <w:r w:rsidRPr="00EE198F">
              <w:rPr>
                <w:rFonts w:cstheme="minorHAnsi"/>
                <w:color w:val="000000"/>
              </w:rPr>
              <w:t xml:space="preserve">Liczba osób przeszkolonych - wartość w 2030 r. lub na zakończenie działania </w:t>
            </w:r>
            <w:r>
              <w:rPr>
                <w:rFonts w:cstheme="minorHAnsi"/>
                <w:color w:val="000000"/>
              </w:rPr>
              <w:t>–</w:t>
            </w:r>
            <w:r w:rsidRPr="00EE198F">
              <w:rPr>
                <w:rFonts w:cstheme="minorHAnsi"/>
                <w:color w:val="000000"/>
              </w:rPr>
              <w:t xml:space="preserve"> 3360</w:t>
            </w:r>
            <w:r>
              <w:rPr>
                <w:rFonts w:cstheme="minorHAnsi"/>
                <w:color w:val="000000"/>
              </w:rPr>
              <w:t>.</w:t>
            </w:r>
          </w:p>
          <w:p w14:paraId="45ED5E61" w14:textId="77777777" w:rsidR="00EE198F" w:rsidRPr="00C7370A" w:rsidRDefault="00EE198F" w:rsidP="00971FA8">
            <w:pPr>
              <w:spacing w:before="72"/>
              <w:ind w:right="504"/>
              <w:rPr>
                <w:rFonts w:cstheme="minorHAnsi"/>
                <w:color w:val="000000"/>
              </w:rPr>
            </w:pPr>
            <w:r>
              <w:rPr>
                <w:rFonts w:cstheme="minorHAnsi"/>
                <w:color w:val="000000"/>
              </w:rPr>
              <w:t xml:space="preserve">Uzasadnienie: </w:t>
            </w:r>
            <w:r w:rsidRPr="00EE198F">
              <w:rPr>
                <w:rFonts w:cstheme="minorHAnsi"/>
                <w:color w:val="000000"/>
              </w:rPr>
              <w:t xml:space="preserve">Monitorowanie i ewaluacja umieszczono wskaźniki dla monitorowania </w:t>
            </w:r>
            <w:r w:rsidRPr="00EE198F">
              <w:rPr>
                <w:rFonts w:cstheme="minorHAnsi"/>
                <w:color w:val="000000"/>
              </w:rPr>
              <w:lastRenderedPageBreak/>
              <w:t>realizacji poszczególnych zadań Programu Rozwoju Kompetencji Cyfrowych. Jednym z wskaźników jest liczba osób, które zostaną objęte szkoleniami do roku 2030 lub do czasu zakończenia poszczególnych zadań i tak np. z zakresu szkoleń, które dotyczą pracowników administracji publicznej w większości przypadków wydaje się, że liczba pracowników, która jest planowana do przeszkolenia, jest niewystarczająca.</w:t>
            </w:r>
          </w:p>
        </w:tc>
        <w:tc>
          <w:tcPr>
            <w:tcW w:w="3638" w:type="dxa"/>
          </w:tcPr>
          <w:p w14:paraId="3E4A7E24" w14:textId="4472A1DB" w:rsidR="00EE198F" w:rsidRPr="00EE198F" w:rsidRDefault="006E771F" w:rsidP="00971FA8">
            <w:pPr>
              <w:rPr>
                <w:bCs/>
              </w:rPr>
            </w:pPr>
            <w:r>
              <w:rPr>
                <w:bCs/>
              </w:rPr>
              <w:lastRenderedPageBreak/>
              <w:t>U</w:t>
            </w:r>
            <w:r w:rsidR="001904EF">
              <w:rPr>
                <w:bCs/>
              </w:rPr>
              <w:t>waga u</w:t>
            </w:r>
            <w:r>
              <w:rPr>
                <w:bCs/>
              </w:rPr>
              <w:t>względnion</w:t>
            </w:r>
            <w:r w:rsidR="001904EF">
              <w:rPr>
                <w:bCs/>
              </w:rPr>
              <w:t>a</w:t>
            </w:r>
            <w:r>
              <w:rPr>
                <w:bCs/>
              </w:rPr>
              <w:t xml:space="preserve"> częściowo. W</w:t>
            </w:r>
            <w:r w:rsidRPr="00E50040">
              <w:rPr>
                <w:bCs/>
              </w:rPr>
              <w:t xml:space="preserve"> wyniku realizacji PRKC </w:t>
            </w:r>
            <w:r w:rsidR="00EE198F" w:rsidRPr="00EE198F">
              <w:rPr>
                <w:bCs/>
              </w:rPr>
              <w:t xml:space="preserve">zostanie przeszkolonych ponad 124 tysiące pracowników JST. Spodziewamy się, </w:t>
            </w:r>
            <w:r w:rsidR="00EE198F" w:rsidRPr="00EE198F">
              <w:rPr>
                <w:bCs/>
              </w:rPr>
              <w:lastRenderedPageBreak/>
              <w:t>że szkolenie pracowników JST będzie się odbywać nie tylko w ramach PRKC, lecz także z inicjatywy samych JST, jak również w ramach programów regionalnych.</w:t>
            </w:r>
          </w:p>
          <w:p w14:paraId="4AD5F448" w14:textId="77777777" w:rsidR="00EE198F" w:rsidRDefault="00EE198F" w:rsidP="00971FA8">
            <w:r w:rsidRPr="00EE198F">
              <w:rPr>
                <w:bCs/>
              </w:rPr>
              <w:t>Przewidujemy w ramach działań PRKC powstanie materiałów szkoleniowych i kursów e-learningowych do przeprowadzania samodzielnych szkoleń. Zostaną one zamieszczone na jednej platformie, z której będą mogli korzystać wszyscy, w tym pracownicy JST. Na skutek realizacji kursów e-learningowych wzrośnie liczba osób przeszkolonych.</w:t>
            </w:r>
          </w:p>
        </w:tc>
      </w:tr>
      <w:tr w:rsidR="00EE198F" w14:paraId="5E52E65C" w14:textId="77777777" w:rsidTr="00681E52">
        <w:tc>
          <w:tcPr>
            <w:tcW w:w="768" w:type="dxa"/>
            <w:vAlign w:val="center"/>
          </w:tcPr>
          <w:p w14:paraId="3AC514A9" w14:textId="77777777" w:rsidR="00EE198F" w:rsidRDefault="00EE198F" w:rsidP="00971FA8">
            <w:pPr>
              <w:pStyle w:val="Akapitzlist"/>
              <w:numPr>
                <w:ilvl w:val="0"/>
                <w:numId w:val="1"/>
              </w:numPr>
            </w:pPr>
          </w:p>
        </w:tc>
        <w:tc>
          <w:tcPr>
            <w:tcW w:w="2200" w:type="dxa"/>
          </w:tcPr>
          <w:p w14:paraId="35B65F2D" w14:textId="77777777" w:rsidR="00EE198F" w:rsidRDefault="00EE198F" w:rsidP="00971FA8">
            <w:r w:rsidRPr="00EE198F">
              <w:rPr>
                <w:bCs/>
              </w:rPr>
              <w:t>Unia Metropolii Polskich</w:t>
            </w:r>
          </w:p>
        </w:tc>
        <w:tc>
          <w:tcPr>
            <w:tcW w:w="2686" w:type="dxa"/>
          </w:tcPr>
          <w:p w14:paraId="306E1BA3" w14:textId="77777777" w:rsidR="00EE198F" w:rsidRPr="00EE198F" w:rsidRDefault="00EE198F" w:rsidP="00971FA8">
            <w:pPr>
              <w:rPr>
                <w:bCs/>
              </w:rPr>
            </w:pPr>
            <w:r w:rsidRPr="00EE198F">
              <w:rPr>
                <w:bCs/>
              </w:rPr>
              <w:t>W jaki sposób i kiedy nastąpi ewaluacja efektów projektu oraz jakie mierniki zostaną zastosowane.</w:t>
            </w:r>
          </w:p>
          <w:p w14:paraId="0B271156" w14:textId="77777777" w:rsidR="00EE198F" w:rsidRPr="00EE198F" w:rsidRDefault="00EE198F" w:rsidP="00971FA8">
            <w:pPr>
              <w:rPr>
                <w:bCs/>
              </w:rPr>
            </w:pPr>
            <w:r w:rsidRPr="00EE198F">
              <w:rPr>
                <w:bCs/>
              </w:rPr>
              <w:t xml:space="preserve">str.18 z 148 z dodatku, punkt 12 – zgodność z KPO </w:t>
            </w:r>
          </w:p>
          <w:p w14:paraId="74D0D0E7" w14:textId="77777777" w:rsidR="00EE198F" w:rsidRDefault="00EE198F" w:rsidP="00971FA8"/>
        </w:tc>
        <w:tc>
          <w:tcPr>
            <w:tcW w:w="4737" w:type="dxa"/>
          </w:tcPr>
          <w:p w14:paraId="09EB24C2" w14:textId="77777777" w:rsidR="00EE198F" w:rsidRDefault="00EE198F" w:rsidP="00971FA8">
            <w:pPr>
              <w:spacing w:before="72"/>
              <w:ind w:right="504"/>
              <w:rPr>
                <w:rFonts w:cstheme="minorHAnsi"/>
                <w:bCs/>
                <w:color w:val="000000"/>
              </w:rPr>
            </w:pPr>
            <w:r w:rsidRPr="00EE198F">
              <w:rPr>
                <w:rFonts w:cstheme="minorHAnsi"/>
                <w:bCs/>
                <w:color w:val="000000"/>
              </w:rPr>
              <w:t>Udział przeszkolonych nauczycieli objętych wsparciem w ogólnej liczbie nauczycieli, uczniów itd.</w:t>
            </w:r>
          </w:p>
          <w:p w14:paraId="1CEDDD40"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Wskaźniki monitorujące efekty PRKC np. liczba przeszkolonych nauczycieli wychowania przedszkolnego, liczba osób (nauczycieli, uczniów) objętych wsparciem itd. nie odzwierciedlają poziomu realizacji programu.  Sama liczba przeszkolonych nauczycieli nie mówi o efektach programu. Ewentualnie należałoby rozważyć wskaźnik monitorujący liczbę przeszkolonych nauczycieli w danym roku z ogólnej liczby nauczycieli, które zostały przewidziane do szkolenia w latach funkcjonowania programu. </w:t>
            </w:r>
          </w:p>
          <w:p w14:paraId="6C4DB19F" w14:textId="77777777" w:rsidR="00EE198F" w:rsidRPr="00C7370A" w:rsidRDefault="00EE198F" w:rsidP="00971FA8">
            <w:pPr>
              <w:spacing w:before="72"/>
              <w:ind w:right="504"/>
              <w:rPr>
                <w:rFonts w:cstheme="minorHAnsi"/>
                <w:color w:val="000000"/>
              </w:rPr>
            </w:pPr>
          </w:p>
        </w:tc>
        <w:tc>
          <w:tcPr>
            <w:tcW w:w="3638" w:type="dxa"/>
          </w:tcPr>
          <w:p w14:paraId="7BA404A3" w14:textId="077199B1" w:rsidR="00EE198F" w:rsidRDefault="006E771F" w:rsidP="00971FA8">
            <w:r>
              <w:rPr>
                <w:bCs/>
              </w:rPr>
              <w:t>U</w:t>
            </w:r>
            <w:r w:rsidR="001904EF">
              <w:rPr>
                <w:bCs/>
              </w:rPr>
              <w:t>waga u</w:t>
            </w:r>
            <w:r>
              <w:rPr>
                <w:bCs/>
              </w:rPr>
              <w:t>względnion</w:t>
            </w:r>
            <w:r w:rsidR="001904EF">
              <w:rPr>
                <w:bCs/>
              </w:rPr>
              <w:t>a</w:t>
            </w:r>
            <w:r>
              <w:rPr>
                <w:bCs/>
              </w:rPr>
              <w:t xml:space="preserve"> częściowo. W</w:t>
            </w:r>
            <w:r w:rsidRPr="00E50040">
              <w:rPr>
                <w:bCs/>
              </w:rPr>
              <w:t xml:space="preserve"> wyniku realizacji PRKC </w:t>
            </w:r>
            <w:r w:rsidR="00EE198F" w:rsidRPr="00EE198F">
              <w:rPr>
                <w:bCs/>
              </w:rPr>
              <w:t xml:space="preserve">do 2030 zostanie </w:t>
            </w:r>
            <w:r w:rsidR="00304140">
              <w:rPr>
                <w:bCs/>
              </w:rPr>
              <w:t>przeszkolonych ponad 270 tysięcy</w:t>
            </w:r>
            <w:r w:rsidR="00EE198F" w:rsidRPr="00EE198F">
              <w:rPr>
                <w:bCs/>
              </w:rPr>
              <w:t xml:space="preserve"> nauczycieli i edukatorów. Monitorowanie będzie prowadzone z częstotliwością roczną, a końcowa ewaluacja PRKC będzie przeprowadzona po zakończeniu Programu w 2031 r.</w:t>
            </w:r>
          </w:p>
        </w:tc>
      </w:tr>
      <w:tr w:rsidR="00EE198F" w14:paraId="5C4E8B18" w14:textId="77777777" w:rsidTr="00681E52">
        <w:tc>
          <w:tcPr>
            <w:tcW w:w="768" w:type="dxa"/>
            <w:vAlign w:val="center"/>
          </w:tcPr>
          <w:p w14:paraId="2D5C4F15" w14:textId="77777777" w:rsidR="00EE198F" w:rsidRDefault="00EE198F" w:rsidP="00971FA8">
            <w:pPr>
              <w:pStyle w:val="Akapitzlist"/>
              <w:numPr>
                <w:ilvl w:val="0"/>
                <w:numId w:val="1"/>
              </w:numPr>
            </w:pPr>
          </w:p>
        </w:tc>
        <w:tc>
          <w:tcPr>
            <w:tcW w:w="2200" w:type="dxa"/>
          </w:tcPr>
          <w:p w14:paraId="4952B58A" w14:textId="77777777" w:rsidR="00EE198F" w:rsidRDefault="00EE198F" w:rsidP="00971FA8">
            <w:r w:rsidRPr="00EE198F">
              <w:rPr>
                <w:bCs/>
              </w:rPr>
              <w:t>Unia Metropolii Polskich</w:t>
            </w:r>
          </w:p>
        </w:tc>
        <w:tc>
          <w:tcPr>
            <w:tcW w:w="2686" w:type="dxa"/>
          </w:tcPr>
          <w:p w14:paraId="050B51F8" w14:textId="77777777" w:rsidR="00EE198F" w:rsidRPr="00EE198F" w:rsidRDefault="00EE198F" w:rsidP="00971FA8">
            <w:pPr>
              <w:rPr>
                <w:bCs/>
              </w:rPr>
            </w:pPr>
            <w:r w:rsidRPr="00EE198F">
              <w:rPr>
                <w:bCs/>
              </w:rPr>
              <w:t>13. Monitorowanie i ewaluacja; str. 115, 116</w:t>
            </w:r>
          </w:p>
          <w:p w14:paraId="1E543A9D" w14:textId="77777777" w:rsidR="00EE198F" w:rsidRDefault="00EE198F" w:rsidP="00971FA8"/>
        </w:tc>
        <w:tc>
          <w:tcPr>
            <w:tcW w:w="4737" w:type="dxa"/>
          </w:tcPr>
          <w:p w14:paraId="20595042" w14:textId="77777777" w:rsidR="00EE198F" w:rsidRDefault="00EE198F" w:rsidP="00971FA8">
            <w:pPr>
              <w:spacing w:before="72"/>
              <w:ind w:right="504"/>
              <w:rPr>
                <w:rFonts w:cstheme="minorHAnsi"/>
                <w:bCs/>
                <w:color w:val="000000"/>
              </w:rPr>
            </w:pPr>
            <w:r w:rsidRPr="00EE198F">
              <w:rPr>
                <w:rFonts w:cstheme="minorHAnsi"/>
                <w:bCs/>
                <w:color w:val="000000"/>
              </w:rPr>
              <w:t>Propozycja zdefiniowania mierników odpowiadających pomiarowi efektywności działań i wydatkowanych środków</w:t>
            </w:r>
            <w:r>
              <w:rPr>
                <w:rFonts w:cstheme="minorHAnsi"/>
                <w:bCs/>
                <w:color w:val="000000"/>
              </w:rPr>
              <w:t>.</w:t>
            </w:r>
          </w:p>
          <w:p w14:paraId="1D68C8CC"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Dobór mierników do monitorowania programu w zakresie działań III.3.1-9, w tym dot. Przyjazny Urząd, jakim jest liczba przeszkolonych osób jest niewłaściwy z punktu widzenia efektywności działań i wydatkowania środków finansowych. Odpowiedni dobór miernika powinien odpowiadać efektom jak np. (Działanie III.3.1. Szkolenia kompetencji cyfrowych pracowników administracji publicznej - str. 86): „W efekcie realizacji działania nastąpi wzrost wykorzystania e-usług, umożliwiających załatwianie spraw urzędowych w trybie zdalnym, bez wychodzenia z domu.” </w:t>
            </w:r>
          </w:p>
          <w:p w14:paraId="57EC0543" w14:textId="77777777" w:rsidR="00EE198F" w:rsidRPr="00EE198F" w:rsidRDefault="00EE198F" w:rsidP="00971FA8">
            <w:pPr>
              <w:spacing w:before="72"/>
              <w:ind w:right="504"/>
              <w:rPr>
                <w:rFonts w:cstheme="minorHAnsi"/>
                <w:bCs/>
                <w:color w:val="000000"/>
              </w:rPr>
            </w:pPr>
            <w:r w:rsidRPr="00EE198F">
              <w:rPr>
                <w:rFonts w:cstheme="minorHAnsi"/>
                <w:bCs/>
                <w:color w:val="000000"/>
              </w:rPr>
              <w:t>Proponujemy zmianę miernika III.3.8 z “Liczba uczestników szkoleń dla pracowników administracji publicznej” na “Liczba dostępnych e-usług np. w stosunku do wartości bazowej” lub “wskaźnik spraw załatwionych drogą elektroniczną”</w:t>
            </w:r>
            <w:r>
              <w:rPr>
                <w:rFonts w:cstheme="minorHAnsi"/>
                <w:bCs/>
                <w:color w:val="000000"/>
              </w:rPr>
              <w:t>.</w:t>
            </w:r>
          </w:p>
        </w:tc>
        <w:tc>
          <w:tcPr>
            <w:tcW w:w="3638" w:type="dxa"/>
          </w:tcPr>
          <w:p w14:paraId="24696F86" w14:textId="290C3C41" w:rsidR="001904EF" w:rsidRDefault="001904EF" w:rsidP="00971FA8">
            <w:pPr>
              <w:rPr>
                <w:bCs/>
              </w:rPr>
            </w:pPr>
            <w:r>
              <w:rPr>
                <w:bCs/>
              </w:rPr>
              <w:t>Uwaga nieuwzględniona</w:t>
            </w:r>
            <w:r w:rsidR="006E771F">
              <w:rPr>
                <w:bCs/>
              </w:rPr>
              <w:t>.</w:t>
            </w:r>
          </w:p>
          <w:p w14:paraId="1492BC4D" w14:textId="7BE8299D" w:rsidR="00EE198F" w:rsidRDefault="00EE198F" w:rsidP="00971FA8">
            <w:r w:rsidRPr="00EE198F">
              <w:rPr>
                <w:bCs/>
              </w:rPr>
              <w:t xml:space="preserve">Dla całego PRKC najważniejszym rezultatem jest wzrost kompetencji cyfrowych, do którego prowadzić będą szkolenia. Dlatego zostaniemy przy wskaźnikach zapisanych w projekcie PRKC, tym bardziej, że proponowany wskaźniki „Liczba dostępnych e-usług” nie zależy tylko od realizacji PRKC, a jeszcze od wielu różnych czynników, więc nie byłby miarodajny jeśli chodzi o efektywność Programu.    </w:t>
            </w:r>
          </w:p>
        </w:tc>
      </w:tr>
      <w:tr w:rsidR="00EE198F" w14:paraId="10AB4D82" w14:textId="77777777" w:rsidTr="00681E52">
        <w:tc>
          <w:tcPr>
            <w:tcW w:w="768" w:type="dxa"/>
            <w:vAlign w:val="center"/>
          </w:tcPr>
          <w:p w14:paraId="4C3B0F9B" w14:textId="77777777" w:rsidR="00EE198F" w:rsidRDefault="00EE198F" w:rsidP="00971FA8">
            <w:pPr>
              <w:pStyle w:val="Akapitzlist"/>
              <w:numPr>
                <w:ilvl w:val="0"/>
                <w:numId w:val="1"/>
              </w:numPr>
            </w:pPr>
          </w:p>
        </w:tc>
        <w:tc>
          <w:tcPr>
            <w:tcW w:w="2200" w:type="dxa"/>
          </w:tcPr>
          <w:p w14:paraId="10D278C4" w14:textId="77777777" w:rsidR="00EE198F" w:rsidRDefault="00EE198F" w:rsidP="00971FA8">
            <w:r w:rsidRPr="00EE198F">
              <w:rPr>
                <w:bCs/>
              </w:rPr>
              <w:t>Unia Metropolii Polskich</w:t>
            </w:r>
          </w:p>
        </w:tc>
        <w:tc>
          <w:tcPr>
            <w:tcW w:w="2686" w:type="dxa"/>
          </w:tcPr>
          <w:p w14:paraId="756FA74E" w14:textId="77777777" w:rsidR="00EE198F" w:rsidRPr="00EE198F" w:rsidRDefault="00EE198F" w:rsidP="00971FA8">
            <w:pPr>
              <w:rPr>
                <w:bCs/>
              </w:rPr>
            </w:pPr>
            <w:r w:rsidRPr="00EE198F">
              <w:rPr>
                <w:bCs/>
              </w:rPr>
              <w:t>I.2.4.Centrum Mistrzostwa Informatycznego str. 111 odniesienie  do  str. 47, pkt. 6.3</w:t>
            </w:r>
          </w:p>
          <w:p w14:paraId="57724CB4" w14:textId="77777777" w:rsidR="00EE198F" w:rsidRDefault="00EE198F" w:rsidP="00971FA8">
            <w:r w:rsidRPr="00EE198F">
              <w:rPr>
                <w:bCs/>
              </w:rPr>
              <w:t>Centrum Mistrzostwa Informatycznego i</w:t>
            </w:r>
          </w:p>
        </w:tc>
        <w:tc>
          <w:tcPr>
            <w:tcW w:w="4737" w:type="dxa"/>
          </w:tcPr>
          <w:p w14:paraId="56F5687C" w14:textId="77777777" w:rsidR="00EE198F" w:rsidRDefault="00EE198F" w:rsidP="00971FA8">
            <w:pPr>
              <w:spacing w:before="72"/>
              <w:ind w:right="504"/>
              <w:rPr>
                <w:rFonts w:cstheme="minorHAnsi"/>
                <w:bCs/>
                <w:color w:val="000000"/>
              </w:rPr>
            </w:pPr>
            <w:r w:rsidRPr="00EE198F">
              <w:rPr>
                <w:rFonts w:cstheme="minorHAnsi"/>
                <w:bCs/>
                <w:color w:val="000000"/>
              </w:rPr>
              <w:t>Wartość bazowa 5 986 nauczycieli i uczniów  objętych wsparciem. W wartości w 2030 roku wpisać &gt; 13</w:t>
            </w:r>
            <w:r>
              <w:rPr>
                <w:rFonts w:cstheme="minorHAnsi"/>
                <w:bCs/>
                <w:color w:val="000000"/>
              </w:rPr>
              <w:t> </w:t>
            </w:r>
            <w:r w:rsidRPr="00EE198F">
              <w:rPr>
                <w:rFonts w:cstheme="minorHAnsi"/>
                <w:bCs/>
                <w:color w:val="000000"/>
              </w:rPr>
              <w:t>000</w:t>
            </w:r>
            <w:r>
              <w:rPr>
                <w:rFonts w:cstheme="minorHAnsi"/>
                <w:bCs/>
                <w:color w:val="000000"/>
              </w:rPr>
              <w:t>.</w:t>
            </w:r>
          </w:p>
          <w:p w14:paraId="1FB647BF"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W ramach projektu planuje się przeszkolić 1500 nauczycieli, 75 innych osób dorosłych oraz 12 000 uczniów. W monitorowaniu i ewaluacji – Wartością bazową jest 5 986 nauczycieli i uczniów </w:t>
            </w:r>
            <w:r w:rsidRPr="00EE198F">
              <w:rPr>
                <w:rFonts w:cstheme="minorHAnsi"/>
                <w:bCs/>
                <w:color w:val="000000"/>
              </w:rPr>
              <w:lastRenderedPageBreak/>
              <w:t>objętych wsparciem  a pożądaną wartością w 2030 roku  jest 13 425.  Wartość pożądana na zakończenie działania najprawdopodobniej powstała jako suma zaplanowanych przeszkoleń nauczycieli (1500) innych osób dorosłych (75) oraz uczniów (12 000) – 13 575.  Nie uwzględniono  wartości bazowej. Wydaje się, że zostało założone 100% zrealizowanego programu.</w:t>
            </w:r>
          </w:p>
        </w:tc>
        <w:tc>
          <w:tcPr>
            <w:tcW w:w="3638" w:type="dxa"/>
          </w:tcPr>
          <w:p w14:paraId="2EEB370A" w14:textId="3E594028" w:rsidR="00EE198F" w:rsidRDefault="001904EF" w:rsidP="00971FA8">
            <w:r>
              <w:rPr>
                <w:bCs/>
              </w:rPr>
              <w:lastRenderedPageBreak/>
              <w:t>Uwaga nie</w:t>
            </w:r>
            <w:r w:rsidR="00EE198F" w:rsidRPr="00EE198F">
              <w:rPr>
                <w:bCs/>
              </w:rPr>
              <w:t>uwzględnion</w:t>
            </w:r>
            <w:r>
              <w:rPr>
                <w:bCs/>
              </w:rPr>
              <w:t>a</w:t>
            </w:r>
            <w:r w:rsidR="00EE198F" w:rsidRPr="00EE198F">
              <w:rPr>
                <w:bCs/>
              </w:rPr>
              <w:t>. Jest wpisana wartość bazowa oraz wartość końcowa.</w:t>
            </w:r>
          </w:p>
        </w:tc>
      </w:tr>
      <w:tr w:rsidR="00EE198F" w14:paraId="720823B1" w14:textId="77777777" w:rsidTr="00681E52">
        <w:tc>
          <w:tcPr>
            <w:tcW w:w="768" w:type="dxa"/>
            <w:vAlign w:val="center"/>
          </w:tcPr>
          <w:p w14:paraId="16C923A9" w14:textId="77777777" w:rsidR="00EE198F" w:rsidRDefault="00EE198F" w:rsidP="00971FA8">
            <w:pPr>
              <w:pStyle w:val="Akapitzlist"/>
              <w:numPr>
                <w:ilvl w:val="0"/>
                <w:numId w:val="1"/>
              </w:numPr>
            </w:pPr>
          </w:p>
        </w:tc>
        <w:tc>
          <w:tcPr>
            <w:tcW w:w="2200" w:type="dxa"/>
          </w:tcPr>
          <w:p w14:paraId="3D69BD0C" w14:textId="77777777" w:rsidR="00EE198F" w:rsidRDefault="00EE198F" w:rsidP="00971FA8">
            <w:r w:rsidRPr="00EE198F">
              <w:rPr>
                <w:bCs/>
              </w:rPr>
              <w:t>Unia Metropolii Polskich</w:t>
            </w:r>
          </w:p>
        </w:tc>
        <w:tc>
          <w:tcPr>
            <w:tcW w:w="2686" w:type="dxa"/>
          </w:tcPr>
          <w:p w14:paraId="1C86471C" w14:textId="77777777" w:rsidR="00EE198F" w:rsidRDefault="00EE198F" w:rsidP="00971FA8">
            <w:r w:rsidRPr="00EE198F">
              <w:rPr>
                <w:bCs/>
              </w:rPr>
              <w:t>str. 41 i 50</w:t>
            </w:r>
          </w:p>
        </w:tc>
        <w:tc>
          <w:tcPr>
            <w:tcW w:w="4737" w:type="dxa"/>
          </w:tcPr>
          <w:p w14:paraId="6662B72A" w14:textId="77777777" w:rsidR="00EE198F" w:rsidRDefault="00EE198F" w:rsidP="00971FA8">
            <w:pPr>
              <w:spacing w:before="72"/>
              <w:ind w:right="504"/>
              <w:rPr>
                <w:rFonts w:cstheme="minorHAnsi"/>
                <w:bCs/>
                <w:color w:val="000000"/>
              </w:rPr>
            </w:pPr>
            <w:r w:rsidRPr="00EE198F">
              <w:rPr>
                <w:rFonts w:cstheme="minorHAnsi"/>
                <w:bCs/>
                <w:color w:val="000000"/>
              </w:rPr>
              <w:t>Niespójność używanych nazw</w:t>
            </w:r>
            <w:r>
              <w:rPr>
                <w:rFonts w:cstheme="minorHAnsi"/>
                <w:bCs/>
                <w:color w:val="000000"/>
              </w:rPr>
              <w:t>.</w:t>
            </w:r>
          </w:p>
          <w:p w14:paraId="7419B6B9"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Niespójność używanych nazw dokumentów UE:</w:t>
            </w:r>
          </w:p>
          <w:p w14:paraId="1983C9B3" w14:textId="77777777" w:rsidR="00EE198F" w:rsidRPr="00EE198F" w:rsidRDefault="00EE198F" w:rsidP="00971FA8">
            <w:pPr>
              <w:numPr>
                <w:ilvl w:val="0"/>
                <w:numId w:val="8"/>
              </w:numPr>
              <w:spacing w:before="72"/>
              <w:ind w:right="504"/>
              <w:rPr>
                <w:rFonts w:cstheme="minorHAnsi"/>
                <w:bCs/>
                <w:color w:val="000000"/>
              </w:rPr>
            </w:pPr>
            <w:r w:rsidRPr="00EE198F">
              <w:rPr>
                <w:rFonts w:cstheme="minorHAnsi"/>
                <w:bCs/>
                <w:color w:val="000000"/>
              </w:rPr>
              <w:t>Str. 41: „Droga ku cyfrowej dekadzie”</w:t>
            </w:r>
          </w:p>
          <w:p w14:paraId="6FDDA07B" w14:textId="77777777" w:rsidR="00EE198F" w:rsidRPr="00C7370A" w:rsidRDefault="00EE198F" w:rsidP="00971FA8">
            <w:pPr>
              <w:spacing w:before="72"/>
              <w:ind w:right="504"/>
              <w:rPr>
                <w:rFonts w:cstheme="minorHAnsi"/>
                <w:color w:val="000000"/>
              </w:rPr>
            </w:pPr>
            <w:r w:rsidRPr="00EE198F">
              <w:rPr>
                <w:rFonts w:cstheme="minorHAnsi"/>
                <w:bCs/>
                <w:color w:val="000000"/>
              </w:rPr>
              <w:t>Str. 50: „Droga do cyfrowej dekady”</w:t>
            </w:r>
          </w:p>
        </w:tc>
        <w:tc>
          <w:tcPr>
            <w:tcW w:w="3638" w:type="dxa"/>
          </w:tcPr>
          <w:p w14:paraId="24628153" w14:textId="2479416F" w:rsidR="00EE198F" w:rsidRDefault="00EE198F" w:rsidP="00971FA8">
            <w:r>
              <w:t>U</w:t>
            </w:r>
            <w:r w:rsidR="001904EF">
              <w:t>waga u</w:t>
            </w:r>
            <w:r>
              <w:t>względnion</w:t>
            </w:r>
            <w:r w:rsidR="001904EF">
              <w:t>a</w:t>
            </w:r>
            <w:r w:rsidR="00457570">
              <w:t>.</w:t>
            </w:r>
          </w:p>
        </w:tc>
      </w:tr>
      <w:tr w:rsidR="00EE198F" w14:paraId="29D629FB" w14:textId="77777777" w:rsidTr="00681E52">
        <w:tc>
          <w:tcPr>
            <w:tcW w:w="768" w:type="dxa"/>
            <w:vAlign w:val="center"/>
          </w:tcPr>
          <w:p w14:paraId="3D4E35A3" w14:textId="77777777" w:rsidR="00EE198F" w:rsidRDefault="00EE198F" w:rsidP="00971FA8">
            <w:pPr>
              <w:pStyle w:val="Akapitzlist"/>
              <w:numPr>
                <w:ilvl w:val="0"/>
                <w:numId w:val="1"/>
              </w:numPr>
            </w:pPr>
          </w:p>
        </w:tc>
        <w:tc>
          <w:tcPr>
            <w:tcW w:w="2200" w:type="dxa"/>
          </w:tcPr>
          <w:p w14:paraId="7C6C7D43" w14:textId="77777777" w:rsidR="00EE198F" w:rsidRDefault="00EE198F" w:rsidP="00971FA8">
            <w:r w:rsidRPr="00EE198F">
              <w:rPr>
                <w:bCs/>
              </w:rPr>
              <w:t>Unia Metropolii Polskich</w:t>
            </w:r>
          </w:p>
        </w:tc>
        <w:tc>
          <w:tcPr>
            <w:tcW w:w="2686" w:type="dxa"/>
          </w:tcPr>
          <w:p w14:paraId="690E6561" w14:textId="77777777" w:rsidR="00EE198F" w:rsidRPr="00EE198F" w:rsidRDefault="00EE198F" w:rsidP="00971FA8">
            <w:pPr>
              <w:rPr>
                <w:bCs/>
              </w:rPr>
            </w:pPr>
            <w:r w:rsidRPr="00EE198F">
              <w:rPr>
                <w:bCs/>
              </w:rPr>
              <w:t xml:space="preserve">str. 86 Charakterystyka działań - Działanie III.3.1. </w:t>
            </w:r>
          </w:p>
          <w:p w14:paraId="685425C2" w14:textId="77777777" w:rsidR="00EE198F" w:rsidRDefault="00EE198F" w:rsidP="00971FA8">
            <w:r w:rsidRPr="00EE198F">
              <w:rPr>
                <w:bCs/>
              </w:rPr>
              <w:t>Szkolenia kompetencji cyfrowych pracowników administracji publicznej Urząd Online</w:t>
            </w:r>
          </w:p>
        </w:tc>
        <w:tc>
          <w:tcPr>
            <w:tcW w:w="4737" w:type="dxa"/>
          </w:tcPr>
          <w:p w14:paraId="7F39766A" w14:textId="77777777" w:rsidR="00EE198F" w:rsidRDefault="00EE198F" w:rsidP="00971FA8">
            <w:pPr>
              <w:spacing w:before="72"/>
              <w:ind w:right="504"/>
              <w:rPr>
                <w:rFonts w:cstheme="minorHAnsi"/>
                <w:bCs/>
                <w:color w:val="000000"/>
              </w:rPr>
            </w:pPr>
            <w:r w:rsidRPr="00EE198F">
              <w:rPr>
                <w:rFonts w:cstheme="minorHAnsi"/>
                <w:bCs/>
                <w:color w:val="000000"/>
              </w:rPr>
              <w:t>Uznaniowość przydzielania środków w sprzeczności z transparentnością  - potrzebne jest jasne określenie kryteriów przyznawania środków i wyłączenie uznaniowości w tym zakresie (o czym świadczy sformułowanie zapisu)</w:t>
            </w:r>
            <w:r>
              <w:rPr>
                <w:rFonts w:cstheme="minorHAnsi"/>
                <w:bCs/>
                <w:color w:val="000000"/>
              </w:rPr>
              <w:t>.</w:t>
            </w:r>
          </w:p>
          <w:p w14:paraId="5A80B2C6"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Zapis obecny:  laptopy „…zostaną one przekazane dla tych placówek, które wykażą największe zapotrzebowanie poparte </w:t>
            </w:r>
            <w:r>
              <w:rPr>
                <w:rFonts w:cstheme="minorHAnsi"/>
                <w:bCs/>
                <w:color w:val="000000"/>
              </w:rPr>
              <w:t>przeprowadzoną inwentaryzacją.”</w:t>
            </w:r>
          </w:p>
        </w:tc>
        <w:tc>
          <w:tcPr>
            <w:tcW w:w="3638" w:type="dxa"/>
          </w:tcPr>
          <w:p w14:paraId="0B18C183" w14:textId="58CDD78E" w:rsidR="001904EF" w:rsidRDefault="001904EF" w:rsidP="00971FA8">
            <w:pPr>
              <w:rPr>
                <w:bCs/>
              </w:rPr>
            </w:pPr>
            <w:r>
              <w:rPr>
                <w:bCs/>
              </w:rPr>
              <w:t>Uwaga nieu</w:t>
            </w:r>
            <w:r w:rsidR="006E771F">
              <w:rPr>
                <w:bCs/>
              </w:rPr>
              <w:t>względnion</w:t>
            </w:r>
            <w:r>
              <w:rPr>
                <w:bCs/>
              </w:rPr>
              <w:t>a</w:t>
            </w:r>
            <w:r w:rsidR="006E771F">
              <w:rPr>
                <w:bCs/>
              </w:rPr>
              <w:t xml:space="preserve">. </w:t>
            </w:r>
          </w:p>
          <w:p w14:paraId="16572FEC" w14:textId="7FAF81F0" w:rsidR="00EE198F" w:rsidRDefault="00EE198F" w:rsidP="00971FA8">
            <w:r w:rsidRPr="00EE198F">
              <w:rPr>
                <w:bCs/>
              </w:rPr>
              <w:t>Są to zapisy ogólne, charakteryzujące działania. Jasne, wyłączające uznaniowość kryteria</w:t>
            </w:r>
            <w:r w:rsidR="00712DA3">
              <w:rPr>
                <w:bCs/>
              </w:rPr>
              <w:t>,</w:t>
            </w:r>
            <w:r w:rsidRPr="00EE198F">
              <w:rPr>
                <w:bCs/>
              </w:rPr>
              <w:t xml:space="preserve"> zostaną określone podczas realizacji działania.</w:t>
            </w:r>
          </w:p>
        </w:tc>
      </w:tr>
      <w:tr w:rsidR="00EE198F" w14:paraId="3264D311" w14:textId="77777777" w:rsidTr="00681E52">
        <w:tc>
          <w:tcPr>
            <w:tcW w:w="768" w:type="dxa"/>
            <w:vAlign w:val="center"/>
          </w:tcPr>
          <w:p w14:paraId="18155355" w14:textId="77777777" w:rsidR="00EE198F" w:rsidRDefault="00EE198F" w:rsidP="00971FA8">
            <w:pPr>
              <w:pStyle w:val="Akapitzlist"/>
              <w:numPr>
                <w:ilvl w:val="0"/>
                <w:numId w:val="1"/>
              </w:numPr>
            </w:pPr>
          </w:p>
        </w:tc>
        <w:tc>
          <w:tcPr>
            <w:tcW w:w="2200" w:type="dxa"/>
          </w:tcPr>
          <w:p w14:paraId="052AB2DB" w14:textId="77777777" w:rsidR="00EE198F" w:rsidRDefault="008317C4" w:rsidP="00971FA8">
            <w:r w:rsidRPr="008317C4">
              <w:rPr>
                <w:bCs/>
              </w:rPr>
              <w:t>Unia Metropolii Polskich</w:t>
            </w:r>
          </w:p>
        </w:tc>
        <w:tc>
          <w:tcPr>
            <w:tcW w:w="2686" w:type="dxa"/>
          </w:tcPr>
          <w:p w14:paraId="521C4044" w14:textId="77777777" w:rsidR="00EE198F" w:rsidRDefault="008317C4" w:rsidP="00971FA8">
            <w:r w:rsidRPr="008317C4">
              <w:rPr>
                <w:bCs/>
              </w:rPr>
              <w:t>Spis treści, str. 1</w:t>
            </w:r>
          </w:p>
        </w:tc>
        <w:tc>
          <w:tcPr>
            <w:tcW w:w="4737" w:type="dxa"/>
          </w:tcPr>
          <w:p w14:paraId="20DA6033" w14:textId="77777777" w:rsidR="00EE198F" w:rsidRDefault="008317C4" w:rsidP="00971FA8">
            <w:pPr>
              <w:spacing w:before="72"/>
              <w:ind w:right="504"/>
              <w:rPr>
                <w:rFonts w:cstheme="minorHAnsi"/>
                <w:bCs/>
                <w:color w:val="000000"/>
              </w:rPr>
            </w:pPr>
            <w:r w:rsidRPr="008317C4">
              <w:rPr>
                <w:rFonts w:cstheme="minorHAnsi"/>
                <w:bCs/>
                <w:color w:val="000000"/>
              </w:rPr>
              <w:t>4.6. Kompetencje cyfrowe w kontekście monitorowania zmian środowiska oraz jego ochrony</w:t>
            </w:r>
            <w:r>
              <w:rPr>
                <w:rFonts w:cstheme="minorHAnsi"/>
                <w:bCs/>
                <w:color w:val="000000"/>
              </w:rPr>
              <w:t>.</w:t>
            </w:r>
          </w:p>
          <w:p w14:paraId="74A942CA" w14:textId="77777777" w:rsidR="008317C4" w:rsidRPr="00C7370A" w:rsidRDefault="008317C4" w:rsidP="00971FA8">
            <w:pPr>
              <w:spacing w:before="72"/>
              <w:ind w:right="504"/>
              <w:rPr>
                <w:rFonts w:cstheme="minorHAnsi"/>
                <w:color w:val="000000"/>
              </w:rPr>
            </w:pPr>
            <w:r>
              <w:rPr>
                <w:rFonts w:cstheme="minorHAnsi"/>
                <w:bCs/>
                <w:color w:val="000000"/>
              </w:rPr>
              <w:lastRenderedPageBreak/>
              <w:t xml:space="preserve">Uzasadnienie: </w:t>
            </w:r>
            <w:r w:rsidRPr="008317C4">
              <w:rPr>
                <w:rFonts w:cstheme="minorHAnsi"/>
                <w:bCs/>
                <w:color w:val="000000"/>
              </w:rPr>
              <w:t>Potencjał cyfryzacji (a co za tym idzie kompetencji cyfrowych) leży nie tylko w roli, jaką może i będzie pełnić w gospodarce przyszłości. Jednym z większych wyzwań, jakie stoją przed całą ludzkością jest zahamowanie i odwrócenie zmian w środowisku przyrodniczym. Cyfryzacja może w tym obszarze wspomagać procesy monitorowania (</w:t>
            </w:r>
            <w:proofErr w:type="spellStart"/>
            <w:r w:rsidRPr="008317C4">
              <w:rPr>
                <w:rFonts w:cstheme="minorHAnsi"/>
                <w:bCs/>
                <w:color w:val="000000"/>
              </w:rPr>
              <w:t>IoT</w:t>
            </w:r>
            <w:proofErr w:type="spellEnd"/>
            <w:r w:rsidRPr="008317C4">
              <w:rPr>
                <w:rFonts w:cstheme="minorHAnsi"/>
                <w:bCs/>
                <w:color w:val="000000"/>
              </w:rPr>
              <w:t>), analizy danych (</w:t>
            </w:r>
            <w:proofErr w:type="spellStart"/>
            <w:r w:rsidRPr="008317C4">
              <w:rPr>
                <w:rFonts w:cstheme="minorHAnsi"/>
                <w:bCs/>
                <w:color w:val="000000"/>
              </w:rPr>
              <w:t>BigData</w:t>
            </w:r>
            <w:proofErr w:type="spellEnd"/>
            <w:r w:rsidRPr="008317C4">
              <w:rPr>
                <w:rFonts w:cstheme="minorHAnsi"/>
                <w:bCs/>
                <w:color w:val="000000"/>
              </w:rPr>
              <w:t>) oraz poszukiwania optymalnych metod rozwiązywania zidentyfikowanych problemów (SI).</w:t>
            </w:r>
          </w:p>
        </w:tc>
        <w:tc>
          <w:tcPr>
            <w:tcW w:w="3638" w:type="dxa"/>
          </w:tcPr>
          <w:p w14:paraId="1C743D6A" w14:textId="4447AD2D" w:rsidR="00EE198F" w:rsidRDefault="008317C4" w:rsidP="00971FA8">
            <w:r w:rsidRPr="008317C4">
              <w:rPr>
                <w:bCs/>
              </w:rPr>
              <w:lastRenderedPageBreak/>
              <w:t>U</w:t>
            </w:r>
            <w:r w:rsidR="001904EF">
              <w:rPr>
                <w:bCs/>
              </w:rPr>
              <w:t>waga u</w:t>
            </w:r>
            <w:r w:rsidRPr="008317C4">
              <w:rPr>
                <w:bCs/>
              </w:rPr>
              <w:t>względnion</w:t>
            </w:r>
            <w:r w:rsidR="001904EF">
              <w:rPr>
                <w:bCs/>
              </w:rPr>
              <w:t>a</w:t>
            </w:r>
            <w:r w:rsidRPr="008317C4">
              <w:rPr>
                <w:bCs/>
              </w:rPr>
              <w:t xml:space="preserve"> poprzez zasygnalizowanie zagadnienia w rozdziale 4.4.Kompetencje cyfrowe w kontekście rozwoju gospodarki. </w:t>
            </w:r>
            <w:r w:rsidRPr="008317C4">
              <w:rPr>
                <w:bCs/>
              </w:rPr>
              <w:lastRenderedPageBreak/>
              <w:t>Zgadzamy się, że jest to kolejny bardzo ważny i obszerny temat. Horyzontalne kompetencje cyfrowe znajdują zastosowanie w wielu dziedzinach, których nie sposób wszystkich opisać w PRKC, zachowując objętość dokumentu na optymalnym poziomie.</w:t>
            </w:r>
          </w:p>
        </w:tc>
      </w:tr>
      <w:tr w:rsidR="00EE198F" w14:paraId="018CA379" w14:textId="77777777" w:rsidTr="00681E52">
        <w:tc>
          <w:tcPr>
            <w:tcW w:w="768" w:type="dxa"/>
            <w:vAlign w:val="center"/>
          </w:tcPr>
          <w:p w14:paraId="6101F88F" w14:textId="77777777" w:rsidR="00EE198F" w:rsidRDefault="00EE198F" w:rsidP="00971FA8">
            <w:pPr>
              <w:pStyle w:val="Akapitzlist"/>
              <w:numPr>
                <w:ilvl w:val="0"/>
                <w:numId w:val="1"/>
              </w:numPr>
            </w:pPr>
          </w:p>
        </w:tc>
        <w:tc>
          <w:tcPr>
            <w:tcW w:w="2200" w:type="dxa"/>
          </w:tcPr>
          <w:p w14:paraId="23A9676F" w14:textId="77777777" w:rsidR="00EE198F" w:rsidRDefault="008317C4" w:rsidP="00971FA8">
            <w:r w:rsidRPr="008317C4">
              <w:rPr>
                <w:bCs/>
              </w:rPr>
              <w:t>Unia Metropolii Polskich</w:t>
            </w:r>
          </w:p>
        </w:tc>
        <w:tc>
          <w:tcPr>
            <w:tcW w:w="2686" w:type="dxa"/>
          </w:tcPr>
          <w:p w14:paraId="34F1CCDD" w14:textId="77777777" w:rsidR="00EE198F" w:rsidRDefault="008317C4" w:rsidP="00971FA8">
            <w:r w:rsidRPr="008317C4">
              <w:rPr>
                <w:bCs/>
              </w:rPr>
              <w:t>Spis treści, str. 1</w:t>
            </w:r>
          </w:p>
        </w:tc>
        <w:tc>
          <w:tcPr>
            <w:tcW w:w="4737" w:type="dxa"/>
          </w:tcPr>
          <w:p w14:paraId="3B4D1553" w14:textId="77777777" w:rsidR="00EE198F" w:rsidRDefault="008317C4" w:rsidP="00971FA8">
            <w:pPr>
              <w:spacing w:before="72"/>
              <w:ind w:right="504"/>
              <w:rPr>
                <w:rFonts w:cstheme="minorHAnsi"/>
                <w:color w:val="000000"/>
              </w:rPr>
            </w:pPr>
            <w:r w:rsidRPr="008317C4">
              <w:rPr>
                <w:rFonts w:cstheme="minorHAnsi"/>
                <w:color w:val="000000"/>
              </w:rPr>
              <w:t>4.7. Kompetencje cyfrowe w kontekście zmian cywilizacyjnych w społeczeństwie</w:t>
            </w:r>
            <w:r>
              <w:rPr>
                <w:rFonts w:cstheme="minorHAnsi"/>
                <w:color w:val="000000"/>
              </w:rPr>
              <w:t>.</w:t>
            </w:r>
          </w:p>
          <w:p w14:paraId="1737DF3B" w14:textId="77777777" w:rsidR="008317C4" w:rsidRPr="00C7370A" w:rsidRDefault="008317C4" w:rsidP="00971FA8">
            <w:pPr>
              <w:spacing w:before="72"/>
              <w:ind w:right="504"/>
              <w:rPr>
                <w:rFonts w:cstheme="minorHAnsi"/>
                <w:color w:val="000000"/>
              </w:rPr>
            </w:pPr>
            <w:r>
              <w:rPr>
                <w:rFonts w:cstheme="minorHAnsi"/>
                <w:color w:val="000000"/>
              </w:rPr>
              <w:t xml:space="preserve">Uzasadnienie: </w:t>
            </w:r>
            <w:r w:rsidRPr="008317C4">
              <w:rPr>
                <w:rFonts w:cstheme="minorHAnsi"/>
                <w:bCs/>
                <w:color w:val="000000"/>
              </w:rPr>
              <w:t xml:space="preserve">Formująca się od czasów upowszechnienia się telefonii idea Globalnej Wioski w wyniku rozwoju Internetu nabrała niesamowitego tempa. Zwłaszcza w ostatnich latach dynamiczny rozwój portali społecznościowych, czy idea usług C2C (Airbnb, Uber) zdaje się zmieniać całkowicie niektóre branże, a co za tym idzie – wpływać na dotychczasowy sposób zaspokajania wybranych potrzeb. Są to zmiany rozciągające się na całe społeczeństwa, przekraczające granice państw, tworzące wirtualne grupy osób o podobnych przekonaniach, zaspokajające potrzeby bliskości najwidoczniej nie zaspokajane przez rodziny/społeczności lokalne. Dostrzeganie tego trendu socjologicznego i umiejętność reagowania na niego powinna </w:t>
            </w:r>
            <w:r w:rsidRPr="008317C4">
              <w:rPr>
                <w:rFonts w:cstheme="minorHAnsi"/>
                <w:bCs/>
                <w:color w:val="000000"/>
              </w:rPr>
              <w:lastRenderedPageBreak/>
              <w:t xml:space="preserve">być rozważona i poddana analizie ponieważ wpływa na przyszłe formowanie się kompetencji cyfrowych. Można wręcz szerzej mówić o „kulturze cyfrowej” rozumianej jako „gotowość użytkowników do korzystania z technologii cyfrowych, wchodzenia w interakcje z różnymi cyfrowymi interfejsami; umiejętność korzystania z nich w codziennym życiu; świadomość korzyści i zagrożeń płynących z korzystania z technologii informacyjno-komunikacyjnych” (cytat za: </w:t>
            </w:r>
            <w:r w:rsidRPr="008317C4">
              <w:rPr>
                <w:rFonts w:cstheme="minorHAnsi"/>
                <w:bCs/>
                <w:i/>
                <w:iCs/>
                <w:color w:val="000000"/>
                <w:u w:val="single"/>
              </w:rPr>
              <w:t>Polityka cyfrowej transformacji m.st. Warszawy, Zarządzenie nr 1494/2020 Prezydenta m.st. Warszawy</w:t>
            </w:r>
            <w:r w:rsidRPr="008317C4">
              <w:rPr>
                <w:rFonts w:cstheme="minorHAnsi"/>
                <w:bCs/>
                <w:color w:val="000000"/>
                <w:u w:val="single"/>
              </w:rPr>
              <w:t>).</w:t>
            </w:r>
            <w:r w:rsidRPr="008317C4">
              <w:rPr>
                <w:rFonts w:cstheme="minorHAnsi"/>
                <w:bCs/>
                <w:color w:val="000000"/>
              </w:rPr>
              <w:t xml:space="preserve"> Jednym z ważniejszych zadań jakie stoją przed jednostkami samorządu terytorialnego, ale i innymi organami państwowymi, jest zwiększenia partycypacji obywateli w organizację wspólnej przestrzeni, także też wirtualnej. Komercyjne portale skutecznie zagospodarowują uwagę ludzi, pokazując zarazem w jakim kierunku być może powinna zdążać edukacja aby skutecznie dotrzeć z przekazem od nowych pokoleń. Projekt mógłby te i inne kierunki rozwoju zarysowywać, sugerując przede wszystkim badania naukowe w tych obszarach.</w:t>
            </w:r>
          </w:p>
        </w:tc>
        <w:tc>
          <w:tcPr>
            <w:tcW w:w="3638" w:type="dxa"/>
          </w:tcPr>
          <w:p w14:paraId="5E2E9590" w14:textId="15571304" w:rsidR="001904EF" w:rsidRDefault="001904EF" w:rsidP="00971FA8">
            <w:pPr>
              <w:rPr>
                <w:bCs/>
              </w:rPr>
            </w:pPr>
            <w:r>
              <w:rPr>
                <w:bCs/>
              </w:rPr>
              <w:lastRenderedPageBreak/>
              <w:t>Uwaga wyjaśniona</w:t>
            </w:r>
          </w:p>
          <w:p w14:paraId="557B9840" w14:textId="403F79C0" w:rsidR="00EE198F" w:rsidRDefault="008317C4" w:rsidP="00971FA8">
            <w:r w:rsidRPr="008317C4">
              <w:rPr>
                <w:bCs/>
              </w:rPr>
              <w:t>Zdajemy sobie sprawę, że rozwojowi i rozpowszechnieniu technologii cyfrowych towarzyszy wiele zmian społecznych i socjologicznych. Nie sposób wszystkich opisać w PRKC, zachowując objętość dokumentu na optymalnym poziomie. Przedmiotem prac CRKC jest m.in. identyfikacja nowych trendów i zjawisk w tym obszarze. Prosimy o zgłaszanie do CRKC tematów badawczych, które Państwo zidentyfikowali jako potrzebne i interesujące do eksploracji.</w:t>
            </w:r>
          </w:p>
        </w:tc>
      </w:tr>
      <w:tr w:rsidR="00EE198F" w14:paraId="2C9F273E" w14:textId="77777777" w:rsidTr="00681E52">
        <w:tc>
          <w:tcPr>
            <w:tcW w:w="768" w:type="dxa"/>
            <w:vAlign w:val="center"/>
          </w:tcPr>
          <w:p w14:paraId="0B6812BB" w14:textId="77777777" w:rsidR="00EE198F" w:rsidRDefault="00EE198F" w:rsidP="00971FA8">
            <w:pPr>
              <w:pStyle w:val="Akapitzlist"/>
              <w:numPr>
                <w:ilvl w:val="0"/>
                <w:numId w:val="1"/>
              </w:numPr>
            </w:pPr>
          </w:p>
        </w:tc>
        <w:tc>
          <w:tcPr>
            <w:tcW w:w="2200" w:type="dxa"/>
          </w:tcPr>
          <w:p w14:paraId="32A34523" w14:textId="77777777" w:rsidR="00EE198F" w:rsidRDefault="008317C4" w:rsidP="00971FA8">
            <w:r w:rsidRPr="008317C4">
              <w:rPr>
                <w:bCs/>
              </w:rPr>
              <w:t>Unia Metropolii Polskich</w:t>
            </w:r>
          </w:p>
        </w:tc>
        <w:tc>
          <w:tcPr>
            <w:tcW w:w="2686" w:type="dxa"/>
          </w:tcPr>
          <w:p w14:paraId="3CA00D58" w14:textId="77777777" w:rsidR="00EE198F" w:rsidRDefault="008317C4" w:rsidP="00971FA8">
            <w:r w:rsidRPr="008317C4">
              <w:rPr>
                <w:bCs/>
              </w:rPr>
              <w:t>Spis treści, str. 1</w:t>
            </w:r>
          </w:p>
        </w:tc>
        <w:tc>
          <w:tcPr>
            <w:tcW w:w="4737" w:type="dxa"/>
          </w:tcPr>
          <w:p w14:paraId="632CBEF2" w14:textId="77777777" w:rsidR="00EE198F" w:rsidRDefault="008317C4" w:rsidP="00971FA8">
            <w:pPr>
              <w:spacing w:before="72"/>
              <w:ind w:right="504"/>
              <w:rPr>
                <w:rFonts w:cstheme="minorHAnsi"/>
                <w:i/>
                <w:color w:val="000000"/>
              </w:rPr>
            </w:pPr>
            <w:r w:rsidRPr="008317C4">
              <w:rPr>
                <w:rFonts w:cstheme="minorHAnsi"/>
                <w:i/>
                <w:color w:val="000000"/>
              </w:rPr>
              <w:t>5.1 do zmiany w całości</w:t>
            </w:r>
            <w:r>
              <w:rPr>
                <w:rFonts w:cstheme="minorHAnsi"/>
                <w:i/>
                <w:color w:val="000000"/>
              </w:rPr>
              <w:t>.</w:t>
            </w:r>
          </w:p>
          <w:p w14:paraId="46A6477E" w14:textId="77777777" w:rsidR="008317C4" w:rsidRPr="008317C4" w:rsidRDefault="008317C4" w:rsidP="00971FA8">
            <w:pPr>
              <w:spacing w:before="72"/>
              <w:ind w:right="504"/>
              <w:rPr>
                <w:rFonts w:cstheme="minorHAnsi"/>
                <w:color w:val="000000"/>
              </w:rPr>
            </w:pPr>
            <w:r>
              <w:rPr>
                <w:rFonts w:cstheme="minorHAnsi"/>
                <w:color w:val="000000"/>
              </w:rPr>
              <w:t xml:space="preserve">Uzasadnienie: </w:t>
            </w:r>
            <w:r w:rsidRPr="008317C4">
              <w:rPr>
                <w:rFonts w:cstheme="minorHAnsi"/>
                <w:bCs/>
                <w:color w:val="000000"/>
              </w:rPr>
              <w:t xml:space="preserve">Obecna propozycja 5.1 skupia się w nadmiernym stopniu na wykorzystaniu samego Internetu. Internet jest być może najważniejszym medium dostępu do nowych </w:t>
            </w:r>
            <w:r w:rsidRPr="008317C4">
              <w:rPr>
                <w:rFonts w:cstheme="minorHAnsi"/>
                <w:bCs/>
                <w:color w:val="000000"/>
              </w:rPr>
              <w:lastRenderedPageBreak/>
              <w:t>technologii, ale cyfrowe urządzenia wplecione są w tkankę domów, miejsc pracy i przestrzeni publicznej. „Mądre” urządzenia towarzyszą człowiekowi w coraz większej ilości obszarów życia separując go od Internetu, świadcząc dla niego usługi i wykonując za niego wiele coraz bardziej skomplikowanych czynności. Internet lub inne medium komunikacyjne jest tu oczywiście istotne, ale to co ważne w cyfryzacji odbywa się już na wyższym poziomie – na poziomie coraz bardziej inteligentnych usług, wspieranych m.in. przez urządzenia Internetu Rzeczy (</w:t>
            </w:r>
            <w:proofErr w:type="spellStart"/>
            <w:r w:rsidRPr="008317C4">
              <w:rPr>
                <w:rFonts w:cstheme="minorHAnsi"/>
                <w:bCs/>
                <w:color w:val="000000"/>
              </w:rPr>
              <w:t>IoT</w:t>
            </w:r>
            <w:proofErr w:type="spellEnd"/>
            <w:r w:rsidRPr="008317C4">
              <w:rPr>
                <w:rFonts w:cstheme="minorHAnsi"/>
                <w:bCs/>
                <w:color w:val="000000"/>
              </w:rPr>
              <w:t xml:space="preserve">). W tym sensie kompetencje cyfrowe wcale nie muszą się sprowadzać do umiejętności samodzielnego wykonywania pewnych czynności – chodzi bardziej o świadomość, jak w coraz bardziej </w:t>
            </w:r>
            <w:proofErr w:type="spellStart"/>
            <w:r w:rsidRPr="008317C4">
              <w:rPr>
                <w:rFonts w:cstheme="minorHAnsi"/>
                <w:bCs/>
                <w:color w:val="000000"/>
              </w:rPr>
              <w:t>cyfryzującym</w:t>
            </w:r>
            <w:proofErr w:type="spellEnd"/>
            <w:r w:rsidRPr="008317C4">
              <w:rPr>
                <w:rFonts w:cstheme="minorHAnsi"/>
                <w:bCs/>
                <w:color w:val="000000"/>
              </w:rPr>
              <w:t xml:space="preserve"> się otoczeniu poszukiwać pasujących człowiekowi usług oraz otwartości na nowe technologie, w tym o zwalczanie barier w ich wykorzystaniu (np. kontrowersje wokół wejścia technologii 5G). Dokument zbyt mało miejsca poświęca zagadnieniom identyfikacji potrzeb człowieka i uczenia go opcji, jakie dla ich zaspokojenia oferuje rynek cyfrowy.</w:t>
            </w:r>
          </w:p>
        </w:tc>
        <w:tc>
          <w:tcPr>
            <w:tcW w:w="3638" w:type="dxa"/>
          </w:tcPr>
          <w:p w14:paraId="2F08E97B" w14:textId="77777777" w:rsidR="001904EF" w:rsidRDefault="001904EF" w:rsidP="00971FA8">
            <w:pPr>
              <w:rPr>
                <w:bCs/>
              </w:rPr>
            </w:pPr>
            <w:r>
              <w:rPr>
                <w:bCs/>
              </w:rPr>
              <w:lastRenderedPageBreak/>
              <w:t>Uwaga n</w:t>
            </w:r>
            <w:r w:rsidR="008317C4" w:rsidRPr="008317C4">
              <w:rPr>
                <w:bCs/>
              </w:rPr>
              <w:t>ieuwzględnion</w:t>
            </w:r>
            <w:r>
              <w:rPr>
                <w:bCs/>
              </w:rPr>
              <w:t>a</w:t>
            </w:r>
            <w:r w:rsidR="008317C4" w:rsidRPr="008317C4">
              <w:rPr>
                <w:bCs/>
              </w:rPr>
              <w:t xml:space="preserve">. </w:t>
            </w:r>
          </w:p>
          <w:p w14:paraId="74119718" w14:textId="426EC859" w:rsidR="008317C4" w:rsidRPr="008317C4" w:rsidRDefault="008317C4" w:rsidP="00971FA8">
            <w:pPr>
              <w:rPr>
                <w:bCs/>
              </w:rPr>
            </w:pPr>
            <w:r w:rsidRPr="008317C4">
              <w:rPr>
                <w:bCs/>
              </w:rPr>
              <w:t xml:space="preserve">Już w samym wstępie do PRKC wskazujemy realia w jakich rozwijamy dzisiejsze kompetencje cyfrowe, czyli trwając czwartą rewolucję </w:t>
            </w:r>
            <w:r w:rsidRPr="008317C4">
              <w:rPr>
                <w:bCs/>
              </w:rPr>
              <w:lastRenderedPageBreak/>
              <w:t>przemysłową, czyli właśnie to</w:t>
            </w:r>
            <w:r w:rsidR="00712DA3">
              <w:rPr>
                <w:bCs/>
              </w:rPr>
              <w:t>,</w:t>
            </w:r>
            <w:r w:rsidRPr="008317C4">
              <w:rPr>
                <w:bCs/>
              </w:rPr>
              <w:t xml:space="preserve"> czego dotyczy komentarz. Ten wstęp definiuje również technologie tworzące i przełomowe IV rewolucji. Żadna z tych technologii (AI, </w:t>
            </w:r>
            <w:proofErr w:type="spellStart"/>
            <w:r w:rsidRPr="008317C4">
              <w:rPr>
                <w:bCs/>
              </w:rPr>
              <w:t>Cloud</w:t>
            </w:r>
            <w:proofErr w:type="spellEnd"/>
            <w:r w:rsidRPr="008317C4">
              <w:rPr>
                <w:bCs/>
              </w:rPr>
              <w:t xml:space="preserve"> Computing itd.) nie miałaby potencjału takiego rozwoju, gdyby nie łączność, czyli de facto Internet.  W diagnozie PRKC są prezentowane wskaźniki z badań prowadzonych w ramach statystyki społeczeństwa informacyjnego dla całej UE na przestrzeni lat. Jest w nich określona metodologia badania kompetencji cyfrowych. Odrzucając ten sposób badania i rozumienia kompetencji cyfrowych skazujemy się na brak danych i niemożność ich oceny. </w:t>
            </w:r>
          </w:p>
          <w:p w14:paraId="61DE6A41" w14:textId="77777777" w:rsidR="00EE198F" w:rsidRDefault="008317C4" w:rsidP="00971FA8">
            <w:r w:rsidRPr="008317C4">
              <w:rPr>
                <w:bCs/>
              </w:rPr>
              <w:t>W diagnozie wskazujemy również wykorzystywanie nowych technologii ICT np. przed przedsiębiorstwa.</w:t>
            </w:r>
          </w:p>
        </w:tc>
      </w:tr>
      <w:tr w:rsidR="00EE198F" w14:paraId="6C131428" w14:textId="77777777" w:rsidTr="00681E52">
        <w:tc>
          <w:tcPr>
            <w:tcW w:w="768" w:type="dxa"/>
            <w:vAlign w:val="center"/>
          </w:tcPr>
          <w:p w14:paraId="70B13104" w14:textId="77777777" w:rsidR="00EE198F" w:rsidRDefault="00EE198F" w:rsidP="00971FA8">
            <w:pPr>
              <w:pStyle w:val="Akapitzlist"/>
              <w:numPr>
                <w:ilvl w:val="0"/>
                <w:numId w:val="1"/>
              </w:numPr>
            </w:pPr>
          </w:p>
        </w:tc>
        <w:tc>
          <w:tcPr>
            <w:tcW w:w="2200" w:type="dxa"/>
          </w:tcPr>
          <w:p w14:paraId="58B248D5" w14:textId="77777777" w:rsidR="00EE198F" w:rsidRDefault="008317C4" w:rsidP="00971FA8">
            <w:r w:rsidRPr="008317C4">
              <w:rPr>
                <w:bCs/>
              </w:rPr>
              <w:t>Unia Metropolii Polskich</w:t>
            </w:r>
          </w:p>
        </w:tc>
        <w:tc>
          <w:tcPr>
            <w:tcW w:w="2686" w:type="dxa"/>
          </w:tcPr>
          <w:p w14:paraId="4AA10040" w14:textId="77777777" w:rsidR="00EE198F" w:rsidRDefault="008317C4" w:rsidP="00971FA8">
            <w:r w:rsidRPr="008317C4">
              <w:rPr>
                <w:bCs/>
              </w:rPr>
              <w:t>Spis treści, str. 1</w:t>
            </w:r>
          </w:p>
        </w:tc>
        <w:tc>
          <w:tcPr>
            <w:tcW w:w="4737" w:type="dxa"/>
          </w:tcPr>
          <w:p w14:paraId="1D936E2B" w14:textId="77777777" w:rsidR="00EE198F" w:rsidRDefault="008317C4" w:rsidP="00971FA8">
            <w:pPr>
              <w:spacing w:before="72"/>
              <w:ind w:right="504"/>
              <w:rPr>
                <w:rFonts w:cstheme="minorHAnsi"/>
                <w:i/>
                <w:color w:val="000000"/>
              </w:rPr>
            </w:pPr>
            <w:r w:rsidRPr="008317C4">
              <w:rPr>
                <w:rFonts w:cstheme="minorHAnsi"/>
                <w:i/>
                <w:color w:val="000000"/>
              </w:rPr>
              <w:t>Brak w spisie rozdziału poświęconego specyficznym potrzebom osób w podeszłym wieku.</w:t>
            </w:r>
          </w:p>
          <w:p w14:paraId="3BF63612" w14:textId="77777777" w:rsidR="008317C4" w:rsidRPr="008317C4" w:rsidRDefault="008317C4" w:rsidP="00971FA8">
            <w:pPr>
              <w:spacing w:before="72"/>
              <w:ind w:right="504"/>
              <w:rPr>
                <w:rFonts w:cstheme="minorHAnsi"/>
                <w:color w:val="000000"/>
              </w:rPr>
            </w:pPr>
            <w:r w:rsidRPr="008317C4">
              <w:rPr>
                <w:rFonts w:cstheme="minorHAnsi"/>
                <w:color w:val="000000"/>
              </w:rPr>
              <w:t xml:space="preserve">Uzasadnienie: </w:t>
            </w:r>
            <w:r w:rsidRPr="008317C4">
              <w:rPr>
                <w:rFonts w:cstheme="minorHAnsi"/>
                <w:bCs/>
                <w:color w:val="000000"/>
              </w:rPr>
              <w:t xml:space="preserve">Spis treści zarysowuje podział na różne typy osób korzystających ze świata </w:t>
            </w:r>
            <w:r w:rsidRPr="008317C4">
              <w:rPr>
                <w:rFonts w:cstheme="minorHAnsi"/>
                <w:bCs/>
                <w:color w:val="000000"/>
              </w:rPr>
              <w:lastRenderedPageBreak/>
              <w:t>cyfrowego. Na tej liście nie są wymienione osoby w podeszłym wieku. Nie można ich zaliczać wprost do osób z niepełnosprawnością, bo należą oni raczej do grupy osób o szczególnych potrzebach i jako tacy powinni być rozważani na równi z dziećmi, studentami, czy specjalistami ICT. Obserwowany na całym świecie trend starzenia się społeczeństw w krajach uprzemysłowionych ma już i będzie mieć zapewne coraz większy wpływ na gospodarkę. Seniorzy mogą się stawać coraz ważniejszym segmentem rynku konsumentów. Dynamiczny rozwój sztucznej inteligencji może doprowadzić do zrekompensowania braków pracowników w wieku produkcyjnym w niektórych gałęziach przemysłu, być może jednak w ludziach o największym życiowym doświadczeniu drzemie potencjał, który szkoda zmarnować. To, że ktoś jest w wieku poprodukcyjnym nie znaczy, że nie może produktywnie (z pożytkiem dla wszystkich) spędzić reszty swojego życia.</w:t>
            </w:r>
          </w:p>
        </w:tc>
        <w:tc>
          <w:tcPr>
            <w:tcW w:w="3638" w:type="dxa"/>
          </w:tcPr>
          <w:p w14:paraId="6F853132" w14:textId="39C3B093" w:rsidR="001C6A71" w:rsidRDefault="001904EF" w:rsidP="00971FA8">
            <w:pPr>
              <w:rPr>
                <w:rFonts w:ascii="Calibri" w:eastAsia="Calibri" w:hAnsi="Calibri" w:cs="Calibri"/>
                <w:bCs/>
              </w:rPr>
            </w:pPr>
            <w:r>
              <w:rPr>
                <w:bCs/>
              </w:rPr>
              <w:lastRenderedPageBreak/>
              <w:t>Uwaga nie</w:t>
            </w:r>
            <w:r w:rsidR="006E771F">
              <w:rPr>
                <w:bCs/>
              </w:rPr>
              <w:t>uwzględnion</w:t>
            </w:r>
            <w:r>
              <w:rPr>
                <w:bCs/>
              </w:rPr>
              <w:t>a</w:t>
            </w:r>
            <w:r w:rsidR="006E771F">
              <w:rPr>
                <w:bCs/>
              </w:rPr>
              <w:t xml:space="preserve">. </w:t>
            </w:r>
            <w:r w:rsidR="008317C4" w:rsidRPr="008317C4">
              <w:rPr>
                <w:bCs/>
              </w:rPr>
              <w:t>Przyjęto podział na grupy docelowe, do których kierujemy działania PRKC</w:t>
            </w:r>
            <w:r w:rsidR="001C6A71">
              <w:rPr>
                <w:bCs/>
              </w:rPr>
              <w:t>, jednak s</w:t>
            </w:r>
            <w:r w:rsidR="001C6A71">
              <w:rPr>
                <w:rFonts w:ascii="Calibri" w:eastAsia="Calibri" w:hAnsi="Calibri" w:cs="Calibri"/>
                <w:bCs/>
              </w:rPr>
              <w:t xml:space="preserve">eniorzy nie stanowią jednorodnej grupy. </w:t>
            </w:r>
          </w:p>
          <w:p w14:paraId="63BD3124" w14:textId="77777777" w:rsidR="00EE198F" w:rsidRDefault="001C6A71" w:rsidP="00971FA8">
            <w:r>
              <w:rPr>
                <w:rFonts w:ascii="Calibri" w:eastAsia="Calibri" w:hAnsi="Calibri" w:cs="Calibri"/>
                <w:bCs/>
              </w:rPr>
              <w:lastRenderedPageBreak/>
              <w:t>Seniorzy, którzy są wykluczeni cyfrowo lub mają niskie kompetencje cyfrowe wchodzą w skład grupy</w:t>
            </w:r>
            <w:r w:rsidRPr="007B72BD">
              <w:rPr>
                <w:rFonts w:ascii="Calibri" w:eastAsia="Calibri" w:hAnsi="Calibri" w:cs="Calibri"/>
                <w:bCs/>
              </w:rPr>
              <w:t xml:space="preserve"> „Osoby stawiające pierwsze kroki w świecie cyfrowym”</w:t>
            </w:r>
            <w:r>
              <w:rPr>
                <w:rFonts w:ascii="Calibri" w:eastAsia="Calibri" w:hAnsi="Calibri" w:cs="Calibri"/>
                <w:bCs/>
              </w:rPr>
              <w:t>(aby podkreślić obecność seniorów w tej grupie zmieniono nazwę grupy na „O</w:t>
            </w:r>
            <w:r w:rsidRPr="00900223">
              <w:rPr>
                <w:rFonts w:ascii="Calibri" w:eastAsia="Calibri" w:hAnsi="Calibri" w:cs="Calibri"/>
                <w:bCs/>
              </w:rPr>
              <w:t>soby stawiające pierwsze kroki w świecie cyfrowym</w:t>
            </w:r>
            <w:r>
              <w:rPr>
                <w:rFonts w:ascii="Calibri" w:eastAsia="Calibri" w:hAnsi="Calibri" w:cs="Calibri"/>
                <w:bCs/>
              </w:rPr>
              <w:t>, w tym seniorzy”. Wśród 7 działań przyporządkowanych dla tej grupy 6 jest dedykowanych przede wszystkim seniorom)</w:t>
            </w:r>
            <w:r w:rsidRPr="007B72BD">
              <w:rPr>
                <w:rFonts w:ascii="Calibri" w:eastAsia="Calibri" w:hAnsi="Calibri" w:cs="Calibri"/>
                <w:bCs/>
              </w:rPr>
              <w:t xml:space="preserve">, natomiast pozostali zaliczają się do </w:t>
            </w:r>
            <w:r>
              <w:rPr>
                <w:rFonts w:ascii="Calibri" w:eastAsia="Calibri" w:hAnsi="Calibri" w:cs="Calibri"/>
                <w:bCs/>
              </w:rPr>
              <w:t xml:space="preserve">kategorii </w:t>
            </w:r>
            <w:r w:rsidRPr="007B72BD">
              <w:rPr>
                <w:rFonts w:ascii="Calibri" w:eastAsia="Calibri" w:hAnsi="Calibri" w:cs="Calibri"/>
                <w:bCs/>
              </w:rPr>
              <w:t>„Użytkowników technologii cyfrowych</w:t>
            </w:r>
            <w:r>
              <w:rPr>
                <w:rFonts w:ascii="Calibri" w:eastAsia="Calibri" w:hAnsi="Calibri" w:cs="Calibri"/>
                <w:bCs/>
              </w:rPr>
              <w:t>”</w:t>
            </w:r>
            <w:r w:rsidR="008317C4" w:rsidRPr="008317C4">
              <w:rPr>
                <w:bCs/>
              </w:rPr>
              <w:t>. Planujemy w działalności Klubów Rozwoju Cyfrowego zwrócić szczególną uwagę na potrzeby tej grupy.</w:t>
            </w:r>
          </w:p>
        </w:tc>
      </w:tr>
      <w:tr w:rsidR="00EE198F" w14:paraId="09B148FB" w14:textId="77777777" w:rsidTr="00681E52">
        <w:tc>
          <w:tcPr>
            <w:tcW w:w="768" w:type="dxa"/>
            <w:vAlign w:val="center"/>
          </w:tcPr>
          <w:p w14:paraId="32F939D1" w14:textId="77777777" w:rsidR="00EE198F" w:rsidRDefault="00EE198F" w:rsidP="00971FA8">
            <w:pPr>
              <w:pStyle w:val="Akapitzlist"/>
              <w:numPr>
                <w:ilvl w:val="0"/>
                <w:numId w:val="1"/>
              </w:numPr>
            </w:pPr>
          </w:p>
        </w:tc>
        <w:tc>
          <w:tcPr>
            <w:tcW w:w="2200" w:type="dxa"/>
          </w:tcPr>
          <w:p w14:paraId="1E2BE75C" w14:textId="77777777" w:rsidR="00EE198F" w:rsidRDefault="008317C4" w:rsidP="00971FA8">
            <w:r w:rsidRPr="008317C4">
              <w:rPr>
                <w:bCs/>
              </w:rPr>
              <w:t>Unia Metropolii Polskich</w:t>
            </w:r>
          </w:p>
        </w:tc>
        <w:tc>
          <w:tcPr>
            <w:tcW w:w="2686" w:type="dxa"/>
          </w:tcPr>
          <w:p w14:paraId="1557857F" w14:textId="77777777" w:rsidR="00EE198F" w:rsidRDefault="008A59D5" w:rsidP="00971FA8">
            <w:r w:rsidRPr="008A59D5">
              <w:rPr>
                <w:bCs/>
              </w:rPr>
              <w:t>Str. 10</w:t>
            </w:r>
          </w:p>
        </w:tc>
        <w:tc>
          <w:tcPr>
            <w:tcW w:w="4737" w:type="dxa"/>
          </w:tcPr>
          <w:p w14:paraId="59A92124" w14:textId="77777777" w:rsidR="00EE198F" w:rsidRDefault="008A59D5" w:rsidP="00971FA8">
            <w:pPr>
              <w:spacing w:before="72"/>
              <w:ind w:right="504"/>
              <w:rPr>
                <w:rFonts w:cstheme="minorHAnsi"/>
                <w:i/>
                <w:color w:val="000000"/>
              </w:rPr>
            </w:pPr>
            <w:r w:rsidRPr="008A59D5">
              <w:rPr>
                <w:rFonts w:cstheme="minorHAnsi"/>
                <w:i/>
                <w:color w:val="000000"/>
              </w:rPr>
              <w:t>Brak w punkcie 4. zarysowania wyzwań ekologicznych. Brak też poruszenia kwestii minimalizowania oporu wobec technologii (nowa odmiana luddyzmu związana z dynamicznym rozwojem SI).</w:t>
            </w:r>
          </w:p>
          <w:p w14:paraId="48695146" w14:textId="77777777" w:rsidR="008A59D5" w:rsidRPr="008A59D5" w:rsidRDefault="008A59D5" w:rsidP="00971FA8">
            <w:pPr>
              <w:spacing w:before="72"/>
              <w:ind w:right="504"/>
              <w:rPr>
                <w:rFonts w:cstheme="minorHAnsi"/>
                <w:color w:val="000000"/>
              </w:rPr>
            </w:pPr>
            <w:r w:rsidRPr="008A59D5">
              <w:rPr>
                <w:rFonts w:cstheme="minorHAnsi"/>
                <w:color w:val="000000"/>
              </w:rPr>
              <w:t xml:space="preserve">Uzasadnienie: </w:t>
            </w:r>
            <w:r w:rsidRPr="008A59D5">
              <w:rPr>
                <w:rFonts w:cstheme="minorHAnsi"/>
                <w:bCs/>
                <w:color w:val="000000"/>
              </w:rPr>
              <w:t xml:space="preserve">Punkt 4. na poziomie ogólnym definiuje znaczenie kompetencji cyfrowych. Jako przykłady poruszane są np. kwestie </w:t>
            </w:r>
            <w:proofErr w:type="spellStart"/>
            <w:r w:rsidRPr="008A59D5">
              <w:rPr>
                <w:rFonts w:cstheme="minorHAnsi"/>
                <w:bCs/>
                <w:color w:val="000000"/>
              </w:rPr>
              <w:t>Covid</w:t>
            </w:r>
            <w:proofErr w:type="spellEnd"/>
            <w:r w:rsidRPr="008A59D5">
              <w:rPr>
                <w:rFonts w:cstheme="minorHAnsi"/>
                <w:bCs/>
                <w:color w:val="000000"/>
              </w:rPr>
              <w:t xml:space="preserve"> i zdalnej nauki oraz konfliktów </w:t>
            </w:r>
            <w:r w:rsidRPr="008A59D5">
              <w:rPr>
                <w:rFonts w:cstheme="minorHAnsi"/>
                <w:bCs/>
                <w:color w:val="000000"/>
              </w:rPr>
              <w:lastRenderedPageBreak/>
              <w:t>zbrojnych. Ogromnym wyzwaniem jakie staje obecnie przed ludzkością są kwestie ekologii. Podobnie wydaje się, że wartym wspomnienia zagadnieniem jest niwelowanie lęków ludzi związanych z algorytmami przejmującymi coraz więcej prac dotąd zarezerwowanych dla ludzi.</w:t>
            </w:r>
          </w:p>
        </w:tc>
        <w:tc>
          <w:tcPr>
            <w:tcW w:w="3638" w:type="dxa"/>
          </w:tcPr>
          <w:p w14:paraId="0B5FB330" w14:textId="0367DE6A" w:rsidR="008A59D5" w:rsidRPr="008A59D5" w:rsidRDefault="006E771F" w:rsidP="00971FA8">
            <w:pPr>
              <w:rPr>
                <w:bCs/>
              </w:rPr>
            </w:pPr>
            <w:r>
              <w:rPr>
                <w:bCs/>
              </w:rPr>
              <w:lastRenderedPageBreak/>
              <w:t>U</w:t>
            </w:r>
            <w:r w:rsidR="001904EF">
              <w:rPr>
                <w:bCs/>
              </w:rPr>
              <w:t>waga u</w:t>
            </w:r>
            <w:r>
              <w:rPr>
                <w:bCs/>
              </w:rPr>
              <w:t>względnion</w:t>
            </w:r>
            <w:r w:rsidR="001904EF">
              <w:rPr>
                <w:bCs/>
              </w:rPr>
              <w:t>a</w:t>
            </w:r>
            <w:r>
              <w:rPr>
                <w:bCs/>
              </w:rPr>
              <w:t xml:space="preserve"> częściowo. </w:t>
            </w:r>
            <w:r w:rsidR="008A59D5" w:rsidRPr="008A59D5">
              <w:rPr>
                <w:bCs/>
              </w:rPr>
              <w:t xml:space="preserve">Zasygnalizowanie zagadnienia dot. roli kompetencji cyfrowych w kontekście ochrony środowiska w rozdziale 4.4.Kompetencje cyfrowe w kontekście rozwoju gospodarki. Zgadzamy się, że jest to kolejny bardzo ważny i obszerny temat. Horyzontalne kompetencje cyfrowe </w:t>
            </w:r>
            <w:r w:rsidR="008A59D5" w:rsidRPr="008A59D5">
              <w:rPr>
                <w:bCs/>
              </w:rPr>
              <w:lastRenderedPageBreak/>
              <w:t>znajdują zastosowanie w wielu dziedzinach, których nie sposób wszystkich opisać w PRKC, zachowując objętość dokumentu na optymalnym poziomie.</w:t>
            </w:r>
          </w:p>
          <w:p w14:paraId="7169FA39" w14:textId="77777777" w:rsidR="00EE198F" w:rsidRDefault="008A59D5" w:rsidP="00971FA8">
            <w:r w:rsidRPr="008A59D5">
              <w:rPr>
                <w:bCs/>
              </w:rPr>
              <w:t>Kwestie świadomościowe, w tym minimalizowania oporu wobec technologii są przedmiotem działania II.1.2. Kampanie edukacyjno-informacyjne na rzecz rozwoju społeczeństwa informacyjnego, w tym kompetencji cyfrowych. Ponadto będzie to obszar działań Klubów Rozwoju Cyfrowego.</w:t>
            </w:r>
          </w:p>
        </w:tc>
      </w:tr>
      <w:tr w:rsidR="008317C4" w14:paraId="2376A600" w14:textId="77777777" w:rsidTr="00681E52">
        <w:tc>
          <w:tcPr>
            <w:tcW w:w="768" w:type="dxa"/>
            <w:vAlign w:val="center"/>
          </w:tcPr>
          <w:p w14:paraId="71498ACA" w14:textId="77777777" w:rsidR="008317C4" w:rsidRDefault="008317C4" w:rsidP="00971FA8">
            <w:pPr>
              <w:pStyle w:val="Akapitzlist"/>
              <w:numPr>
                <w:ilvl w:val="0"/>
                <w:numId w:val="1"/>
              </w:numPr>
            </w:pPr>
          </w:p>
        </w:tc>
        <w:tc>
          <w:tcPr>
            <w:tcW w:w="2200" w:type="dxa"/>
          </w:tcPr>
          <w:p w14:paraId="2D5E5DC5" w14:textId="77777777" w:rsidR="008317C4" w:rsidRPr="008317C4" w:rsidRDefault="008317C4" w:rsidP="00971FA8">
            <w:pPr>
              <w:rPr>
                <w:bCs/>
              </w:rPr>
            </w:pPr>
            <w:r w:rsidRPr="00EE198F">
              <w:rPr>
                <w:bCs/>
              </w:rPr>
              <w:t>Unia Metropolii Polskich</w:t>
            </w:r>
          </w:p>
        </w:tc>
        <w:tc>
          <w:tcPr>
            <w:tcW w:w="2686" w:type="dxa"/>
          </w:tcPr>
          <w:p w14:paraId="1840281C" w14:textId="77777777" w:rsidR="008317C4" w:rsidRDefault="008A59D5" w:rsidP="00971FA8">
            <w:r w:rsidRPr="008A59D5">
              <w:rPr>
                <w:bCs/>
                <w:lang w:val="en-US"/>
              </w:rPr>
              <w:t>Str. 13</w:t>
            </w:r>
          </w:p>
        </w:tc>
        <w:tc>
          <w:tcPr>
            <w:tcW w:w="4737" w:type="dxa"/>
          </w:tcPr>
          <w:p w14:paraId="704F6FF8" w14:textId="77777777" w:rsidR="008317C4" w:rsidRDefault="008A59D5" w:rsidP="00971FA8">
            <w:pPr>
              <w:spacing w:before="72"/>
              <w:ind w:right="504"/>
              <w:rPr>
                <w:rFonts w:cstheme="minorHAnsi"/>
                <w:color w:val="000000"/>
              </w:rPr>
            </w:pPr>
            <w:r w:rsidRPr="008A59D5">
              <w:rPr>
                <w:rFonts w:cstheme="minorHAnsi"/>
                <w:color w:val="000000"/>
              </w:rPr>
              <w:t>„Warunkiem koniecznym transformacji cyfrowej jest dostęp do sieci komputerowej i podłączonych do niej urządzeń.”</w:t>
            </w:r>
          </w:p>
          <w:p w14:paraId="328766F8" w14:textId="77777777" w:rsidR="008A59D5" w:rsidRPr="00C7370A" w:rsidRDefault="008A59D5" w:rsidP="00971FA8">
            <w:pPr>
              <w:spacing w:before="72"/>
              <w:ind w:right="504"/>
              <w:rPr>
                <w:rFonts w:cstheme="minorHAnsi"/>
                <w:color w:val="000000"/>
              </w:rPr>
            </w:pPr>
            <w:r>
              <w:rPr>
                <w:rFonts w:cstheme="minorHAnsi"/>
                <w:color w:val="000000"/>
              </w:rPr>
              <w:t xml:space="preserve">Uzasadnienie: </w:t>
            </w:r>
            <w:r w:rsidRPr="008A59D5">
              <w:rPr>
                <w:rFonts w:cstheme="minorHAnsi"/>
                <w:color w:val="000000"/>
              </w:rPr>
              <w:t>Internet jest najważniejszą obecnie dostępną siecią komputerową, ale mogą istnieć rozwiązania cyfrowe czasowo lub całkowicie od Internetu odłączone (np. sieci przemysłowe).</w:t>
            </w:r>
          </w:p>
        </w:tc>
        <w:tc>
          <w:tcPr>
            <w:tcW w:w="3638" w:type="dxa"/>
          </w:tcPr>
          <w:p w14:paraId="0F8604E6" w14:textId="037AAD4E" w:rsidR="008317C4" w:rsidRDefault="006E771F" w:rsidP="00971FA8">
            <w:r>
              <w:t>U</w:t>
            </w:r>
            <w:r w:rsidR="001904EF">
              <w:t>waga u</w:t>
            </w:r>
            <w:r>
              <w:t>względnion</w:t>
            </w:r>
            <w:r w:rsidR="001904EF">
              <w:t>a</w:t>
            </w:r>
            <w:r w:rsidR="00686752">
              <w:t>.</w:t>
            </w:r>
          </w:p>
        </w:tc>
      </w:tr>
      <w:tr w:rsidR="008317C4" w14:paraId="6E7082E8" w14:textId="77777777" w:rsidTr="00681E52">
        <w:tc>
          <w:tcPr>
            <w:tcW w:w="768" w:type="dxa"/>
            <w:vAlign w:val="center"/>
          </w:tcPr>
          <w:p w14:paraId="19CB1B8E" w14:textId="77777777" w:rsidR="008317C4" w:rsidRDefault="008317C4" w:rsidP="00971FA8">
            <w:pPr>
              <w:pStyle w:val="Akapitzlist"/>
              <w:numPr>
                <w:ilvl w:val="0"/>
                <w:numId w:val="1"/>
              </w:numPr>
            </w:pPr>
          </w:p>
        </w:tc>
        <w:tc>
          <w:tcPr>
            <w:tcW w:w="2200" w:type="dxa"/>
          </w:tcPr>
          <w:p w14:paraId="1FECC9FD" w14:textId="77777777" w:rsidR="008317C4" w:rsidRPr="008317C4" w:rsidRDefault="008317C4" w:rsidP="00971FA8">
            <w:pPr>
              <w:rPr>
                <w:bCs/>
              </w:rPr>
            </w:pPr>
            <w:r w:rsidRPr="00EE198F">
              <w:rPr>
                <w:bCs/>
              </w:rPr>
              <w:t>Unia Metropolii Polskich</w:t>
            </w:r>
          </w:p>
        </w:tc>
        <w:tc>
          <w:tcPr>
            <w:tcW w:w="2686" w:type="dxa"/>
          </w:tcPr>
          <w:p w14:paraId="5A0DB99D" w14:textId="77777777" w:rsidR="008317C4" w:rsidRDefault="008A59D5" w:rsidP="00971FA8">
            <w:r w:rsidRPr="008A59D5">
              <w:rPr>
                <w:lang w:val="en-US"/>
              </w:rPr>
              <w:t>Str. 13</w:t>
            </w:r>
          </w:p>
        </w:tc>
        <w:tc>
          <w:tcPr>
            <w:tcW w:w="4737" w:type="dxa"/>
          </w:tcPr>
          <w:p w14:paraId="5B96998B" w14:textId="77777777" w:rsidR="008317C4" w:rsidRDefault="008A59D5" w:rsidP="00971FA8">
            <w:pPr>
              <w:spacing w:before="72"/>
              <w:ind w:right="504"/>
              <w:rPr>
                <w:rFonts w:cstheme="minorHAnsi"/>
                <w:color w:val="000000"/>
              </w:rPr>
            </w:pPr>
            <w:r w:rsidRPr="008A59D5">
              <w:rPr>
                <w:rFonts w:cstheme="minorHAnsi"/>
                <w:color w:val="000000"/>
              </w:rPr>
              <w:t xml:space="preserve">„Rozwój i wdrażanie technologii cyfrowej możliwy jest </w:t>
            </w:r>
            <w:bookmarkStart w:id="0" w:name="_GoBack"/>
            <w:r w:rsidRPr="008A59D5">
              <w:rPr>
                <w:rFonts w:cstheme="minorHAnsi"/>
                <w:color w:val="000000"/>
              </w:rPr>
              <w:t>dzięk</w:t>
            </w:r>
            <w:bookmarkEnd w:id="0"/>
            <w:r w:rsidRPr="008A59D5">
              <w:rPr>
                <w:rFonts w:cstheme="minorHAnsi"/>
                <w:color w:val="000000"/>
              </w:rPr>
              <w:t>i symbiozie działalności komercyjnych przedsiębiorstw i kolejnym przełomom naukowym. Zaawansowane kompetencje cyfrowe użytkowników stanowią doskonałą bazę dla wyniesienia z tego rozwoju jak największych korzyści.”</w:t>
            </w:r>
            <w:r>
              <w:rPr>
                <w:rFonts w:cstheme="minorHAnsi"/>
                <w:color w:val="000000"/>
              </w:rPr>
              <w:t>.</w:t>
            </w:r>
          </w:p>
          <w:p w14:paraId="3B8D5DB6" w14:textId="77777777" w:rsidR="008A59D5" w:rsidRPr="00C7370A" w:rsidRDefault="008A59D5" w:rsidP="00971FA8">
            <w:pPr>
              <w:spacing w:before="72"/>
              <w:ind w:right="504"/>
              <w:rPr>
                <w:rFonts w:cstheme="minorHAnsi"/>
                <w:color w:val="000000"/>
              </w:rPr>
            </w:pPr>
            <w:r>
              <w:rPr>
                <w:rFonts w:cstheme="minorHAnsi"/>
                <w:color w:val="000000"/>
              </w:rPr>
              <w:t xml:space="preserve">Uzasadnienie:  </w:t>
            </w:r>
            <w:r w:rsidRPr="008A59D5">
              <w:rPr>
                <w:rFonts w:cstheme="minorHAnsi"/>
                <w:color w:val="000000"/>
              </w:rPr>
              <w:t xml:space="preserve">Nie jest tak, że zaawansowane kompetencje cyfrowe użytkowników napędzają rozwój technologii. </w:t>
            </w:r>
            <w:r w:rsidRPr="008A59D5">
              <w:rPr>
                <w:rFonts w:cstheme="minorHAnsi"/>
                <w:color w:val="000000"/>
              </w:rPr>
              <w:lastRenderedPageBreak/>
              <w:t>Technologia zawsze wyprzedzają kompetencje użytkowników. Relacja między użytkownikami, a nowymi technologiami odbywa się na płaszczyźnie potrzeb użytkowników (często nie uświadomionych, a wynikających z analizy danych). Potrzeba taka jest dla biznesu szansą na budowanie usług i produktów, co generuje rozwój gospodarczy. Natomiast wysokie kompetencje zdecydowanie przyczyniają się do lepszego wykorzystania nowych usług/produktów, niwelują bariery, przyspieszają adaptację do nowych rozwiązań.</w:t>
            </w:r>
          </w:p>
        </w:tc>
        <w:tc>
          <w:tcPr>
            <w:tcW w:w="3638" w:type="dxa"/>
          </w:tcPr>
          <w:p w14:paraId="3950DE64" w14:textId="3D7E3C6A" w:rsidR="008317C4" w:rsidRDefault="006E771F" w:rsidP="00971FA8">
            <w:r>
              <w:rPr>
                <w:bCs/>
              </w:rPr>
              <w:lastRenderedPageBreak/>
              <w:t>U</w:t>
            </w:r>
            <w:r w:rsidR="001904EF">
              <w:rPr>
                <w:bCs/>
              </w:rPr>
              <w:t>waga u</w:t>
            </w:r>
            <w:r>
              <w:rPr>
                <w:bCs/>
              </w:rPr>
              <w:t>względnion</w:t>
            </w:r>
            <w:r w:rsidR="001904EF">
              <w:rPr>
                <w:bCs/>
              </w:rPr>
              <w:t>a</w:t>
            </w:r>
            <w:r>
              <w:rPr>
                <w:bCs/>
              </w:rPr>
              <w:t xml:space="preserve"> częściowo. </w:t>
            </w:r>
            <w:r w:rsidR="008A59D5" w:rsidRPr="008A59D5">
              <w:rPr>
                <w:bCs/>
              </w:rPr>
              <w:t>W</w:t>
            </w:r>
            <w:r w:rsidR="001904EF">
              <w:rPr>
                <w:bCs/>
              </w:rPr>
              <w:t> </w:t>
            </w:r>
            <w:r w:rsidR="008A59D5" w:rsidRPr="008A59D5">
              <w:rPr>
                <w:bCs/>
              </w:rPr>
              <w:t>zgłoszonej uwadze napisano: „</w:t>
            </w:r>
            <w:r w:rsidR="008A59D5" w:rsidRPr="008A59D5">
              <w:t xml:space="preserve">Natomiast wysokie kompetencje zdecydowanie przyczyniają się do lepszego wykorzystania nowych usług/produktów, niwelują bariery, przyspieszają adaptację do nowych rozwiązań” co jest potwierdzeniem treści z PRKC „Zaawansowane kompetencje cyfrowe użytkowników stanowią doskonałą bazę dla </w:t>
            </w:r>
            <w:r w:rsidR="008A59D5" w:rsidRPr="008A59D5">
              <w:lastRenderedPageBreak/>
              <w:t>wyniesienia z tego rozwoju jak największych korzyści.”</w:t>
            </w:r>
          </w:p>
        </w:tc>
      </w:tr>
      <w:tr w:rsidR="008317C4" w14:paraId="021F4463" w14:textId="77777777" w:rsidTr="00681E52">
        <w:tc>
          <w:tcPr>
            <w:tcW w:w="768" w:type="dxa"/>
            <w:vAlign w:val="center"/>
          </w:tcPr>
          <w:p w14:paraId="6D5B03A7" w14:textId="77777777" w:rsidR="008317C4" w:rsidRDefault="008317C4" w:rsidP="00971FA8">
            <w:pPr>
              <w:pStyle w:val="Akapitzlist"/>
              <w:numPr>
                <w:ilvl w:val="0"/>
                <w:numId w:val="1"/>
              </w:numPr>
            </w:pPr>
          </w:p>
        </w:tc>
        <w:tc>
          <w:tcPr>
            <w:tcW w:w="2200" w:type="dxa"/>
          </w:tcPr>
          <w:p w14:paraId="57A803CB" w14:textId="77777777" w:rsidR="008317C4" w:rsidRPr="008317C4" w:rsidRDefault="008317C4" w:rsidP="00971FA8">
            <w:pPr>
              <w:rPr>
                <w:bCs/>
              </w:rPr>
            </w:pPr>
            <w:r w:rsidRPr="00EE198F">
              <w:rPr>
                <w:bCs/>
              </w:rPr>
              <w:t>Unia Metropolii Polskich</w:t>
            </w:r>
          </w:p>
        </w:tc>
        <w:tc>
          <w:tcPr>
            <w:tcW w:w="2686" w:type="dxa"/>
          </w:tcPr>
          <w:p w14:paraId="63A672C3" w14:textId="77777777" w:rsidR="008317C4" w:rsidRDefault="008A59D5" w:rsidP="00971FA8">
            <w:r>
              <w:t>Str. 16</w:t>
            </w:r>
          </w:p>
        </w:tc>
        <w:tc>
          <w:tcPr>
            <w:tcW w:w="4737" w:type="dxa"/>
          </w:tcPr>
          <w:p w14:paraId="038D91E3" w14:textId="77777777" w:rsidR="008317C4" w:rsidRDefault="008A59D5" w:rsidP="00971FA8">
            <w:pPr>
              <w:spacing w:before="72"/>
              <w:ind w:right="504"/>
              <w:rPr>
                <w:rFonts w:cstheme="minorHAnsi"/>
                <w:color w:val="000000"/>
              </w:rPr>
            </w:pPr>
            <w:r w:rsidRPr="008A59D5">
              <w:rPr>
                <w:rFonts w:cstheme="minorHAnsi"/>
                <w:color w:val="000000"/>
              </w:rPr>
              <w:t>„Ogromny nacisk jaki nowoczesne metody wytwórcze w obszarze IT kładą na wygodę oraz domyślność sposobu pracy budowanych usług cyfrowych pozwala przypuszczać, że przy wykonywaniu wielu zawodów przyszłości nie tyle istotne będą jakieś specyficzne kompetencje cyfrowe co ogólna postawa otwartości na używanie nowych, ale prostych w użyciu narzędzi. Zagadnieniem z zakresu kompetencji będzie więc nie tyle umiejętność obsługi jakiegoś narzędzia, ale umiejętność wyboru właściwego narzędzia do wykonania planowanej pracy.„</w:t>
            </w:r>
            <w:r>
              <w:rPr>
                <w:rFonts w:cstheme="minorHAnsi"/>
                <w:color w:val="000000"/>
              </w:rPr>
              <w:t>.</w:t>
            </w:r>
          </w:p>
          <w:p w14:paraId="69226C48" w14:textId="77777777" w:rsidR="008A59D5" w:rsidRPr="00C7370A" w:rsidRDefault="008A59D5" w:rsidP="00971FA8">
            <w:pPr>
              <w:spacing w:before="72"/>
              <w:ind w:right="504"/>
              <w:rPr>
                <w:rFonts w:cstheme="minorHAnsi"/>
                <w:color w:val="000000"/>
              </w:rPr>
            </w:pPr>
            <w:r>
              <w:rPr>
                <w:rFonts w:cstheme="minorHAnsi"/>
                <w:color w:val="000000"/>
              </w:rPr>
              <w:t xml:space="preserve">Uzasadnienie: </w:t>
            </w:r>
            <w:r w:rsidRPr="008A59D5">
              <w:rPr>
                <w:rFonts w:cstheme="minorHAnsi"/>
                <w:color w:val="000000"/>
              </w:rPr>
              <w:t xml:space="preserve">Dokument kładzie ogromny nacisk na szkolenie różnych grup społecznych z zakresu specyficznych kompetencji cyfrowych. Z drugiej strony słusznie podkreślana jest potrzeba </w:t>
            </w:r>
            <w:r w:rsidRPr="008A59D5">
              <w:rPr>
                <w:rFonts w:cstheme="minorHAnsi"/>
                <w:color w:val="000000"/>
              </w:rPr>
              <w:lastRenderedPageBreak/>
              <w:t xml:space="preserve">nauczenia ludzi otwartości na uczenie się przez całe życie (podejście </w:t>
            </w:r>
            <w:proofErr w:type="spellStart"/>
            <w:r w:rsidRPr="008A59D5">
              <w:rPr>
                <w:rFonts w:cstheme="minorHAnsi"/>
                <w:color w:val="000000"/>
              </w:rPr>
              <w:t>andragogiczne</w:t>
            </w:r>
            <w:proofErr w:type="spellEnd"/>
            <w:r w:rsidRPr="008A59D5">
              <w:rPr>
                <w:rFonts w:cstheme="minorHAnsi"/>
                <w:color w:val="000000"/>
              </w:rPr>
              <w:t>). Proces takiego uczenia wcale nie musi być długi i bolesny. Większość współczesnych urządzeń, czy np. portali społecznościowych, nie wymaga w ogóle czytania instrukcji obsługi. Wytwórcy wkładają ogromny wysiłek, by korzystanie z ich produktów opierało się na jak najprostszych zasadach i wykorzystało najbardziej sprawdzone w innych obszarach rozwiązania. Ogromny wysiłek w ramach budowania przyszłych kompetencji cyfrowych użytkowników powinien być więc położony na obszar UX po stronie projektantów. Wiele dobrego wynikło w tym zakresie z wprowadzenia przepisów dotyczących dostępności cyfrowej w ramach przepisów UE. Projektanci nagle przyjęli perspektywę ludzi z niepełnosprawnościami, znajdując często rozwiązania, które są bardziej przyjazne dla każdego użytkownika.</w:t>
            </w:r>
          </w:p>
        </w:tc>
        <w:tc>
          <w:tcPr>
            <w:tcW w:w="3638" w:type="dxa"/>
          </w:tcPr>
          <w:p w14:paraId="68A0F68C" w14:textId="14573506" w:rsidR="008317C4" w:rsidRDefault="006E771F" w:rsidP="00971FA8">
            <w:r>
              <w:lastRenderedPageBreak/>
              <w:t>U</w:t>
            </w:r>
            <w:r w:rsidR="001904EF">
              <w:t>waga u</w:t>
            </w:r>
            <w:r>
              <w:t>względnion</w:t>
            </w:r>
            <w:r w:rsidR="001904EF">
              <w:t>a</w:t>
            </w:r>
            <w:r w:rsidR="00686752">
              <w:t>.</w:t>
            </w:r>
          </w:p>
        </w:tc>
      </w:tr>
      <w:tr w:rsidR="008317C4" w14:paraId="6C356AEE" w14:textId="77777777" w:rsidTr="00681E52">
        <w:tc>
          <w:tcPr>
            <w:tcW w:w="768" w:type="dxa"/>
            <w:vAlign w:val="center"/>
          </w:tcPr>
          <w:p w14:paraId="048F302F" w14:textId="77777777" w:rsidR="008317C4" w:rsidRDefault="008317C4" w:rsidP="00971FA8">
            <w:pPr>
              <w:pStyle w:val="Akapitzlist"/>
              <w:numPr>
                <w:ilvl w:val="0"/>
                <w:numId w:val="1"/>
              </w:numPr>
            </w:pPr>
          </w:p>
        </w:tc>
        <w:tc>
          <w:tcPr>
            <w:tcW w:w="2200" w:type="dxa"/>
          </w:tcPr>
          <w:p w14:paraId="0438209F" w14:textId="77777777" w:rsidR="008317C4" w:rsidRPr="008317C4" w:rsidRDefault="008317C4" w:rsidP="00971FA8">
            <w:pPr>
              <w:rPr>
                <w:bCs/>
              </w:rPr>
            </w:pPr>
            <w:r w:rsidRPr="00EE198F">
              <w:rPr>
                <w:bCs/>
              </w:rPr>
              <w:t>Unia Metropolii Polskich</w:t>
            </w:r>
          </w:p>
        </w:tc>
        <w:tc>
          <w:tcPr>
            <w:tcW w:w="2686" w:type="dxa"/>
          </w:tcPr>
          <w:p w14:paraId="784817F1" w14:textId="77777777" w:rsidR="008317C4" w:rsidRDefault="008A59D5" w:rsidP="00971FA8">
            <w:r>
              <w:t>Str. 24</w:t>
            </w:r>
          </w:p>
        </w:tc>
        <w:tc>
          <w:tcPr>
            <w:tcW w:w="4737" w:type="dxa"/>
          </w:tcPr>
          <w:p w14:paraId="00CB5F3C" w14:textId="77777777" w:rsidR="008317C4" w:rsidRDefault="008A59D5" w:rsidP="00971FA8">
            <w:pPr>
              <w:spacing w:before="72"/>
              <w:ind w:right="504"/>
              <w:rPr>
                <w:rFonts w:cstheme="minorHAnsi"/>
                <w:i/>
                <w:color w:val="000000"/>
              </w:rPr>
            </w:pPr>
            <w:r w:rsidRPr="008A59D5">
              <w:rPr>
                <w:rFonts w:cstheme="minorHAnsi"/>
                <w:i/>
                <w:color w:val="000000"/>
              </w:rPr>
              <w:t>Brak poruszonego zagadnienia naturalnej różnicy w adaptacji do najnowszych trendów technologicznych między rodzicami, a ich dziećmi.</w:t>
            </w:r>
          </w:p>
          <w:p w14:paraId="151135ED" w14:textId="77777777" w:rsidR="008A59D5" w:rsidRPr="008A59D5" w:rsidRDefault="008A59D5" w:rsidP="00971FA8">
            <w:pPr>
              <w:spacing w:before="72"/>
              <w:ind w:right="504"/>
              <w:rPr>
                <w:rFonts w:cstheme="minorHAnsi"/>
                <w:color w:val="000000"/>
              </w:rPr>
            </w:pPr>
            <w:r w:rsidRPr="008A59D5">
              <w:rPr>
                <w:rFonts w:cstheme="minorHAnsi"/>
                <w:color w:val="000000"/>
              </w:rPr>
              <w:t xml:space="preserve">Uzasadnienie: Zważywszy na wciąż galopujący postęp technologicznych w zakresie usług i produktów cyfrowych nieunikniony wydaje się rozdźwięk między wiedzą jaką w tym obszarze posiadają dzieci, a tą, którą rodzice wynieśli z czasów swojej edukacji. Niejednokrotnie można zobaczyć </w:t>
            </w:r>
            <w:r w:rsidRPr="008A59D5">
              <w:rPr>
                <w:rFonts w:cstheme="minorHAnsi"/>
                <w:color w:val="000000"/>
              </w:rPr>
              <w:lastRenderedPageBreak/>
              <w:t>dzieci, które tabletem posługują się z niezwykłą biegłością oraz rodziców z mniejszą biegłością korzystających z komórek. Słusznym wydaje się postulat rozwijania kompetencji cyfrowych rodziców. Z drugiej strony, czy taka różnica poziomów wiedzy nie jest czymś co trzeba umieć także zaakceptować/z czym rodzice powinni uczyć się godzić? Poznawczo dorosły człowiek odbiega znacznie od dziecka chłonącego wszelkie nowinki jak gąbka.</w:t>
            </w:r>
          </w:p>
        </w:tc>
        <w:tc>
          <w:tcPr>
            <w:tcW w:w="3638" w:type="dxa"/>
          </w:tcPr>
          <w:p w14:paraId="504E7042" w14:textId="738EC64C" w:rsidR="008317C4" w:rsidRDefault="001904EF" w:rsidP="00971FA8">
            <w:r>
              <w:rPr>
                <w:bCs/>
              </w:rPr>
              <w:lastRenderedPageBreak/>
              <w:t>Uwaga nie</w:t>
            </w:r>
            <w:r w:rsidR="006E771F">
              <w:rPr>
                <w:bCs/>
              </w:rPr>
              <w:t>uwzględnion</w:t>
            </w:r>
            <w:r>
              <w:rPr>
                <w:bCs/>
              </w:rPr>
              <w:t>a</w:t>
            </w:r>
            <w:r w:rsidR="006E771F">
              <w:rPr>
                <w:bCs/>
              </w:rPr>
              <w:t xml:space="preserve">. </w:t>
            </w:r>
            <w:r w:rsidR="008A59D5" w:rsidRPr="008A59D5">
              <w:rPr>
                <w:bCs/>
              </w:rPr>
              <w:t xml:space="preserve"> Zdajemy sobie sprawę, że ze względu n</w:t>
            </w:r>
            <w:r w:rsidR="00712DA3">
              <w:rPr>
                <w:bCs/>
              </w:rPr>
              <w:t xml:space="preserve">a charakter PRKC dokument może </w:t>
            </w:r>
            <w:r w:rsidR="008A59D5" w:rsidRPr="008A59D5">
              <w:rPr>
                <w:bCs/>
              </w:rPr>
              <w:t xml:space="preserve">nie wyczerpywać  wszystkich zagadnień. Musimy dbać o balans związany z obszernością dokumentu, przejrzystością i  wymaganiami stawianymi w ustawie o  zasadach prowadzenia polityki rozwoju. Dołożyliśmy też wszelkich starań, aby diagnoza opierała się na dostępnych </w:t>
            </w:r>
            <w:r w:rsidR="008A59D5" w:rsidRPr="008A59D5">
              <w:rPr>
                <w:bCs/>
              </w:rPr>
              <w:lastRenderedPageBreak/>
              <w:t>jak najbardziej wiarygodnych badaniach i danych w tym zakresie.</w:t>
            </w:r>
          </w:p>
        </w:tc>
      </w:tr>
      <w:tr w:rsidR="008317C4" w14:paraId="4B777CCB" w14:textId="77777777" w:rsidTr="00681E52">
        <w:tc>
          <w:tcPr>
            <w:tcW w:w="768" w:type="dxa"/>
            <w:vAlign w:val="center"/>
          </w:tcPr>
          <w:p w14:paraId="5854119D" w14:textId="77777777" w:rsidR="008317C4" w:rsidRDefault="008317C4" w:rsidP="00971FA8">
            <w:pPr>
              <w:pStyle w:val="Akapitzlist"/>
              <w:numPr>
                <w:ilvl w:val="0"/>
                <w:numId w:val="1"/>
              </w:numPr>
            </w:pPr>
          </w:p>
        </w:tc>
        <w:tc>
          <w:tcPr>
            <w:tcW w:w="2200" w:type="dxa"/>
          </w:tcPr>
          <w:p w14:paraId="2C349645" w14:textId="77777777" w:rsidR="008317C4" w:rsidRPr="008317C4" w:rsidRDefault="008317C4" w:rsidP="00971FA8">
            <w:pPr>
              <w:rPr>
                <w:bCs/>
              </w:rPr>
            </w:pPr>
            <w:r w:rsidRPr="00EE198F">
              <w:rPr>
                <w:bCs/>
              </w:rPr>
              <w:t>Unia Metropolii Polskich</w:t>
            </w:r>
          </w:p>
        </w:tc>
        <w:tc>
          <w:tcPr>
            <w:tcW w:w="2686" w:type="dxa"/>
          </w:tcPr>
          <w:p w14:paraId="78758D8F" w14:textId="77777777" w:rsidR="008317C4" w:rsidRDefault="004D7659" w:rsidP="00971FA8">
            <w:r>
              <w:t>Str. 36</w:t>
            </w:r>
          </w:p>
        </w:tc>
        <w:tc>
          <w:tcPr>
            <w:tcW w:w="4737" w:type="dxa"/>
          </w:tcPr>
          <w:p w14:paraId="50C4A581" w14:textId="77777777" w:rsidR="008317C4" w:rsidRDefault="004D7659" w:rsidP="00971FA8">
            <w:pPr>
              <w:spacing w:before="72"/>
              <w:ind w:right="504"/>
              <w:rPr>
                <w:rFonts w:cstheme="minorHAnsi"/>
                <w:color w:val="000000"/>
              </w:rPr>
            </w:pPr>
            <w:r w:rsidRPr="004D7659">
              <w:rPr>
                <w:rFonts w:cstheme="minorHAnsi"/>
                <w:color w:val="000000"/>
              </w:rPr>
              <w:t>„Wobec tego Polsce potrzebny jest silny sektor ICT, którego kadry będą wykorzystywane w outsourcingu zasobów ludzkich i dostarczania gotowych rozwiązań w modelu serwisowym (SaaS, PaaS, IaaS) , między innymi do dostarczania/utrzymywania infrastruktury, wsparcia użytkowników, projektowania przygotowania rozwiązań webowych i systemów informatycznych, zapewnienia bezpieczeństwa i ochrony danych.</w:t>
            </w:r>
          </w:p>
          <w:p w14:paraId="230E17C3" w14:textId="77777777" w:rsidR="004D7659" w:rsidRPr="00C7370A" w:rsidRDefault="004D7659" w:rsidP="00971FA8">
            <w:pPr>
              <w:spacing w:before="72"/>
              <w:ind w:right="504"/>
              <w:rPr>
                <w:rFonts w:cstheme="minorHAnsi"/>
                <w:color w:val="000000"/>
              </w:rPr>
            </w:pPr>
            <w:r>
              <w:rPr>
                <w:rFonts w:cstheme="minorHAnsi"/>
                <w:color w:val="000000"/>
              </w:rPr>
              <w:t xml:space="preserve">Uzasadnienie: </w:t>
            </w:r>
            <w:r w:rsidRPr="004D7659">
              <w:rPr>
                <w:rFonts w:cstheme="minorHAnsi"/>
                <w:color w:val="000000"/>
              </w:rPr>
              <w:t xml:space="preserve">Warto podkreślić, że poza dostarczaniem odpowiednio kompetentnych zasobów ludzkich trendem obecnie w informatyce rozpowszechnionych jest także zamawianie gotowych systemów, niezależnych od infrastruktury platform lub infrastruktury wraz z usługami backupu i zapewnienia odpowiednich warunków SLA. Rozwój w tym obszarze może dla Polski być szczególnie dobrym kierunkiem i szansą na budowanie kompetentnych centrów </w:t>
            </w:r>
            <w:r w:rsidRPr="004D7659">
              <w:rPr>
                <w:rFonts w:cstheme="minorHAnsi"/>
                <w:color w:val="000000"/>
              </w:rPr>
              <w:lastRenderedPageBreak/>
              <w:t>przetwarzania danych obsługiwanych przez wysokiej klasy specjalistów.</w:t>
            </w:r>
          </w:p>
        </w:tc>
        <w:tc>
          <w:tcPr>
            <w:tcW w:w="3638" w:type="dxa"/>
          </w:tcPr>
          <w:p w14:paraId="6EB25BC5" w14:textId="55CA1927" w:rsidR="008317C4" w:rsidRPr="00457570" w:rsidRDefault="00457570" w:rsidP="00971FA8">
            <w:pPr>
              <w:rPr>
                <w:rFonts w:cstheme="minorHAnsi"/>
              </w:rPr>
            </w:pPr>
            <w:r>
              <w:rPr>
                <w:rFonts w:cstheme="minorHAnsi"/>
                <w:color w:val="242424"/>
                <w:shd w:val="clear" w:color="auto" w:fill="FFFFFF"/>
              </w:rPr>
              <w:lastRenderedPageBreak/>
              <w:t>U</w:t>
            </w:r>
            <w:r w:rsidRPr="00457570">
              <w:rPr>
                <w:rFonts w:cstheme="minorHAnsi"/>
                <w:color w:val="242424"/>
                <w:shd w:val="clear" w:color="auto" w:fill="FFFFFF"/>
              </w:rPr>
              <w:t>waga wyjaśniona do zastosowania w przyszłości</w:t>
            </w:r>
            <w:r>
              <w:rPr>
                <w:rFonts w:cstheme="minorHAnsi"/>
                <w:color w:val="242424"/>
                <w:shd w:val="clear" w:color="auto" w:fill="FFFFFF"/>
              </w:rPr>
              <w:t>.</w:t>
            </w:r>
          </w:p>
        </w:tc>
      </w:tr>
      <w:tr w:rsidR="008317C4" w14:paraId="08A4C555" w14:textId="77777777" w:rsidTr="00681E52">
        <w:tc>
          <w:tcPr>
            <w:tcW w:w="768" w:type="dxa"/>
            <w:vAlign w:val="center"/>
          </w:tcPr>
          <w:p w14:paraId="41FB44B3" w14:textId="77777777" w:rsidR="008317C4" w:rsidRDefault="008317C4" w:rsidP="00971FA8">
            <w:pPr>
              <w:pStyle w:val="Akapitzlist"/>
              <w:numPr>
                <w:ilvl w:val="0"/>
                <w:numId w:val="1"/>
              </w:numPr>
            </w:pPr>
          </w:p>
        </w:tc>
        <w:tc>
          <w:tcPr>
            <w:tcW w:w="2200" w:type="dxa"/>
          </w:tcPr>
          <w:p w14:paraId="5F874F68" w14:textId="77777777" w:rsidR="008317C4" w:rsidRPr="008317C4" w:rsidRDefault="008317C4" w:rsidP="00971FA8">
            <w:pPr>
              <w:rPr>
                <w:bCs/>
              </w:rPr>
            </w:pPr>
            <w:r w:rsidRPr="00EE198F">
              <w:rPr>
                <w:bCs/>
              </w:rPr>
              <w:t>Unia Metropolii Polskich</w:t>
            </w:r>
          </w:p>
        </w:tc>
        <w:tc>
          <w:tcPr>
            <w:tcW w:w="2686" w:type="dxa"/>
          </w:tcPr>
          <w:p w14:paraId="64FE3474" w14:textId="77777777" w:rsidR="008317C4" w:rsidRDefault="004D7659" w:rsidP="00971FA8">
            <w:r>
              <w:t>Str. 38</w:t>
            </w:r>
          </w:p>
        </w:tc>
        <w:tc>
          <w:tcPr>
            <w:tcW w:w="4737" w:type="dxa"/>
          </w:tcPr>
          <w:p w14:paraId="072F20A8" w14:textId="77777777" w:rsidR="008317C4" w:rsidRDefault="004D7659" w:rsidP="00971FA8">
            <w:pPr>
              <w:spacing w:before="72"/>
              <w:ind w:right="504"/>
              <w:rPr>
                <w:rFonts w:cstheme="minorHAnsi"/>
                <w:i/>
                <w:color w:val="000000"/>
              </w:rPr>
            </w:pPr>
            <w:r w:rsidRPr="004D7659">
              <w:rPr>
                <w:rFonts w:cstheme="minorHAnsi"/>
                <w:i/>
                <w:color w:val="000000"/>
              </w:rPr>
              <w:t>Brak w punkcie 5.9 poruszonego zagadnienia nowego podejścia do usług jako serwisów (SaaS,  PaaS, IaaS).</w:t>
            </w:r>
          </w:p>
          <w:p w14:paraId="360490B1"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Podejście serwisowe zdejmuje z przedsiębiorców konieczność utrzymywania w swoim zespole pracowników o ściśle technicznych kompetencjach. Takie działanie pozwala na skupienie się wyłącznie na warstwie biznesowej działalności. Przełamywanie barier, co do takiego działania (np. obawa o zachowanie tajemnicy przedsiębiorstwa) może poprawić kondycję przedsiębiorstwa. U kadry zarządzającej wymagane są nie tyle kompetencje cyfrowe i wiedza o szczegółach takich rozwiązań, co raczej świadomość potencjału tkwiącego w takim podejściu oraz oswojenie z </w:t>
            </w:r>
            <w:proofErr w:type="spellStart"/>
            <w:r w:rsidRPr="004D7659">
              <w:rPr>
                <w:rFonts w:cstheme="minorHAnsi"/>
                <w:color w:val="000000"/>
              </w:rPr>
              <w:t>ryzykami</w:t>
            </w:r>
            <w:proofErr w:type="spellEnd"/>
            <w:r w:rsidRPr="004D7659">
              <w:rPr>
                <w:rFonts w:cstheme="minorHAnsi"/>
                <w:color w:val="000000"/>
              </w:rPr>
              <w:t xml:space="preserve"> (demistyfikacja).</w:t>
            </w:r>
          </w:p>
        </w:tc>
        <w:tc>
          <w:tcPr>
            <w:tcW w:w="3638" w:type="dxa"/>
          </w:tcPr>
          <w:p w14:paraId="682FB0F6" w14:textId="5EB49145" w:rsidR="008317C4" w:rsidRPr="004D7659" w:rsidRDefault="00545148" w:rsidP="00971FA8">
            <w:pPr>
              <w:rPr>
                <w:bCs/>
              </w:rPr>
            </w:pPr>
            <w:r>
              <w:rPr>
                <w:bCs/>
              </w:rPr>
              <w:t>U</w:t>
            </w:r>
            <w:r w:rsidR="001904EF">
              <w:rPr>
                <w:bCs/>
              </w:rPr>
              <w:t>waga u</w:t>
            </w:r>
            <w:r>
              <w:rPr>
                <w:bCs/>
              </w:rPr>
              <w:t>względnion</w:t>
            </w:r>
            <w:r w:rsidR="001904EF">
              <w:rPr>
                <w:bCs/>
              </w:rPr>
              <w:t>a</w:t>
            </w:r>
            <w:r>
              <w:rPr>
                <w:bCs/>
              </w:rPr>
              <w:t xml:space="preserve"> częściowo.</w:t>
            </w:r>
            <w:r w:rsidR="004D7659" w:rsidRPr="004D7659">
              <w:rPr>
                <w:bCs/>
              </w:rPr>
              <w:t xml:space="preserve"> Co do świadomości potencjału, to w opisie w części „Osoby zarządzające” znalazło się stwierdzenie „Działania związane z podnoszeniem kompetencji cyfrowych przedsiębiorców i kadr zarządzających powinny przede wszystkim mieć na celu uświadamianie korzyści płynących z cyfryzacji oraz kształtowanie umiejętności skutecznego wdrażania innowacji cyfrowych w firmach”. W tych projektach podnoszących kompetencje cyfrowe m</w:t>
            </w:r>
            <w:r w:rsidR="00B302CE">
              <w:rPr>
                <w:bCs/>
              </w:rPr>
              <w:t>e</w:t>
            </w:r>
            <w:r w:rsidR="004D7659" w:rsidRPr="004D7659">
              <w:rPr>
                <w:bCs/>
              </w:rPr>
              <w:t xml:space="preserve">nadżerów jest miejsce nie tylko na pokazywanie korzyści z cyfryzacji ale na pierwszym etapie uświadamianie i pokazywanie różnic jakie wnoszą nowe modele biznesowe i możliwości sieciowego kreowania wartości z ich wykorzystywaniem. Zdajemy sobie sprawę, że ze względu na charakter </w:t>
            </w:r>
            <w:r w:rsidR="00712DA3">
              <w:rPr>
                <w:bCs/>
              </w:rPr>
              <w:t xml:space="preserve">PRKC dokument może </w:t>
            </w:r>
            <w:r w:rsidR="004D7659" w:rsidRPr="004D7659">
              <w:rPr>
                <w:bCs/>
              </w:rPr>
              <w:t>nie opisywać szeroko  wszystkich zagadnień. Musimy dbać o balans związany z obszernością dokumentu, przejrzystością i  wymaganiami stawianymi w ustawie o  zasadach prowadzenia polityki rozwoju.</w:t>
            </w:r>
          </w:p>
        </w:tc>
      </w:tr>
      <w:tr w:rsidR="008317C4" w14:paraId="5528CAD7" w14:textId="77777777" w:rsidTr="00681E52">
        <w:tc>
          <w:tcPr>
            <w:tcW w:w="768" w:type="dxa"/>
            <w:vAlign w:val="center"/>
          </w:tcPr>
          <w:p w14:paraId="3432F9F0" w14:textId="77777777" w:rsidR="008317C4" w:rsidRDefault="008317C4" w:rsidP="00971FA8">
            <w:pPr>
              <w:pStyle w:val="Akapitzlist"/>
              <w:numPr>
                <w:ilvl w:val="0"/>
                <w:numId w:val="1"/>
              </w:numPr>
            </w:pPr>
          </w:p>
        </w:tc>
        <w:tc>
          <w:tcPr>
            <w:tcW w:w="2200" w:type="dxa"/>
          </w:tcPr>
          <w:p w14:paraId="22AB3E89" w14:textId="77777777" w:rsidR="008317C4" w:rsidRPr="008317C4" w:rsidRDefault="008317C4" w:rsidP="00971FA8">
            <w:pPr>
              <w:rPr>
                <w:bCs/>
              </w:rPr>
            </w:pPr>
            <w:r w:rsidRPr="00EE198F">
              <w:rPr>
                <w:bCs/>
              </w:rPr>
              <w:t>Unia Metropolii Polskich</w:t>
            </w:r>
          </w:p>
        </w:tc>
        <w:tc>
          <w:tcPr>
            <w:tcW w:w="2686" w:type="dxa"/>
          </w:tcPr>
          <w:p w14:paraId="1E8AD926" w14:textId="77777777" w:rsidR="008317C4" w:rsidRDefault="004D7659" w:rsidP="00971FA8">
            <w:r>
              <w:t>Str. 39</w:t>
            </w:r>
          </w:p>
        </w:tc>
        <w:tc>
          <w:tcPr>
            <w:tcW w:w="4737" w:type="dxa"/>
          </w:tcPr>
          <w:p w14:paraId="4FB9564E" w14:textId="77777777" w:rsidR="008317C4" w:rsidRDefault="004D7659" w:rsidP="00971FA8">
            <w:pPr>
              <w:spacing w:before="72"/>
              <w:ind w:right="504"/>
              <w:rPr>
                <w:rFonts w:cstheme="minorHAnsi"/>
                <w:i/>
                <w:color w:val="000000"/>
              </w:rPr>
            </w:pPr>
            <w:r w:rsidRPr="004D7659">
              <w:rPr>
                <w:rFonts w:cstheme="minorHAnsi"/>
                <w:i/>
                <w:color w:val="000000"/>
              </w:rPr>
              <w:t>Brakuje w punkcie 5.10 a) opisu działań nastawionych na partycypację z obywatelami.</w:t>
            </w:r>
          </w:p>
          <w:p w14:paraId="1430BD77"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Samo zwiększenie kompetencji cyfrowych nie wystarczy. Potrzebne są działania zwiększające zaangażowanie obywateli w prace nad nowymi rozwiązaniami cyfrowymi już od etapu powstawania wstępnych koncepcji. Tylko w ten sposób można zagwarantować sobie dopasowanie usług do realnych potrzeb. Takie podejście zmniejsza też barierę wejścia dla szerszego grona użytkowników ponieważ budowa odbywa się z nastawieniem na użyteczność z punktu widzenia odbiorcy końcowego. Takie podejście do tworzenia usług postulowane jest w </w:t>
            </w:r>
            <w:r w:rsidRPr="004D7659">
              <w:rPr>
                <w:rFonts w:cstheme="minorHAnsi"/>
                <w:i/>
                <w:iCs/>
                <w:color w:val="000000"/>
                <w:u w:val="single"/>
              </w:rPr>
              <w:t>Polityce cyfrowej transformacji m.st. Warszawy, Zarządzenie nr 1494/2020 Prezydenta m.st. Warszawy.</w:t>
            </w:r>
          </w:p>
        </w:tc>
        <w:tc>
          <w:tcPr>
            <w:tcW w:w="3638" w:type="dxa"/>
          </w:tcPr>
          <w:p w14:paraId="2CE12A84" w14:textId="36123355" w:rsidR="008317C4" w:rsidRDefault="00545148" w:rsidP="00971FA8">
            <w:r>
              <w:rPr>
                <w:bCs/>
              </w:rPr>
              <w:t>U</w:t>
            </w:r>
            <w:r w:rsidR="001904EF">
              <w:rPr>
                <w:bCs/>
              </w:rPr>
              <w:t>waga u</w:t>
            </w:r>
            <w:r>
              <w:rPr>
                <w:bCs/>
              </w:rPr>
              <w:t>względnion</w:t>
            </w:r>
            <w:r w:rsidR="001904EF">
              <w:rPr>
                <w:bCs/>
              </w:rPr>
              <w:t>a</w:t>
            </w:r>
            <w:r>
              <w:rPr>
                <w:bCs/>
              </w:rPr>
              <w:t xml:space="preserve"> częściowo.  K</w:t>
            </w:r>
            <w:r w:rsidR="004D7659" w:rsidRPr="004D7659">
              <w:rPr>
                <w:bCs/>
              </w:rPr>
              <w:t>westia współtworzenia wartości przez klientów je</w:t>
            </w:r>
            <w:r w:rsidR="00712DA3">
              <w:rPr>
                <w:bCs/>
              </w:rPr>
              <w:t xml:space="preserve">st </w:t>
            </w:r>
            <w:r w:rsidR="004D7659" w:rsidRPr="004D7659">
              <w:rPr>
                <w:bCs/>
              </w:rPr>
              <w:t xml:space="preserve">istotnym elementem prowadzenia biznesów w gospodarce cyfrowej oraz przy tworzeniu usług i rozwiązań cyfrowych. Ta kwestia adresowana jest do merytorycznych zagadnień szkoleń realizowanych w ramach wspierania </w:t>
            </w:r>
            <w:r w:rsidR="00B302CE">
              <w:rPr>
                <w:bCs/>
              </w:rPr>
              <w:t>rozwoju kompetencji cyfrowych me</w:t>
            </w:r>
            <w:r w:rsidR="004D7659" w:rsidRPr="004D7659">
              <w:rPr>
                <w:bCs/>
              </w:rPr>
              <w:t>nadżerów.</w:t>
            </w:r>
          </w:p>
        </w:tc>
      </w:tr>
      <w:tr w:rsidR="008317C4" w14:paraId="46870C0A" w14:textId="77777777" w:rsidTr="00681E52">
        <w:tc>
          <w:tcPr>
            <w:tcW w:w="768" w:type="dxa"/>
            <w:vAlign w:val="center"/>
          </w:tcPr>
          <w:p w14:paraId="18FA7F7C" w14:textId="77777777" w:rsidR="008317C4" w:rsidRDefault="008317C4" w:rsidP="00971FA8">
            <w:pPr>
              <w:pStyle w:val="Akapitzlist"/>
              <w:numPr>
                <w:ilvl w:val="0"/>
                <w:numId w:val="1"/>
              </w:numPr>
            </w:pPr>
          </w:p>
        </w:tc>
        <w:tc>
          <w:tcPr>
            <w:tcW w:w="2200" w:type="dxa"/>
          </w:tcPr>
          <w:p w14:paraId="5CF988AB" w14:textId="77777777" w:rsidR="008317C4" w:rsidRPr="008317C4" w:rsidRDefault="008317C4" w:rsidP="00971FA8">
            <w:pPr>
              <w:rPr>
                <w:bCs/>
              </w:rPr>
            </w:pPr>
            <w:r w:rsidRPr="00EE198F">
              <w:rPr>
                <w:bCs/>
              </w:rPr>
              <w:t>Unia Metropolii Polskich</w:t>
            </w:r>
          </w:p>
        </w:tc>
        <w:tc>
          <w:tcPr>
            <w:tcW w:w="2686" w:type="dxa"/>
          </w:tcPr>
          <w:p w14:paraId="6BFCF30B" w14:textId="77777777" w:rsidR="008317C4" w:rsidRDefault="004D7659" w:rsidP="00971FA8">
            <w:r w:rsidRPr="004D7659">
              <w:rPr>
                <w:lang w:val="en-US"/>
              </w:rPr>
              <w:t>Str. 41, 5.11. b)</w:t>
            </w:r>
          </w:p>
        </w:tc>
        <w:tc>
          <w:tcPr>
            <w:tcW w:w="4737" w:type="dxa"/>
          </w:tcPr>
          <w:p w14:paraId="6204CE8D" w14:textId="77777777" w:rsidR="008317C4" w:rsidRDefault="004D7659" w:rsidP="00971FA8">
            <w:pPr>
              <w:spacing w:before="72"/>
              <w:ind w:right="504"/>
              <w:rPr>
                <w:rFonts w:cstheme="minorHAnsi"/>
                <w:color w:val="000000"/>
              </w:rPr>
            </w:pPr>
            <w:r w:rsidRPr="004D7659">
              <w:rPr>
                <w:rFonts w:cstheme="minorHAnsi"/>
                <w:color w:val="000000"/>
              </w:rPr>
              <w:t>„Warszawa przyjęła Politykę Transformacji Cyfrowej podkreślającą m.in. potrzebę podnoszenia kompetencji cyfrowych mieszkańców. Zaplanowane zostało przeprowadzenie cyklicznie powtarzanej diagnozy kultury cyfrowej użytkowników miasta. Badanie ma dać odpowiedź m.in. na pytanie co stanowi największa barierę w korzystaniu w usług cyfrowych miasta, jak użytkownicy postrzegają swoją rolę w procesie planowania, dostarczania i testowania usług.”</w:t>
            </w:r>
          </w:p>
          <w:p w14:paraId="6D74E43E" w14:textId="77777777" w:rsidR="004D7659" w:rsidRPr="004D7659" w:rsidRDefault="004D7659" w:rsidP="00971FA8">
            <w:pPr>
              <w:spacing w:before="72"/>
              <w:ind w:right="504"/>
              <w:rPr>
                <w:rFonts w:cstheme="minorHAnsi"/>
                <w:color w:val="000000"/>
              </w:rPr>
            </w:pPr>
            <w:r>
              <w:rPr>
                <w:rFonts w:cstheme="minorHAnsi"/>
                <w:color w:val="000000"/>
              </w:rPr>
              <w:lastRenderedPageBreak/>
              <w:t xml:space="preserve">Uzasadnienie: </w:t>
            </w:r>
            <w:r w:rsidRPr="004D7659">
              <w:rPr>
                <w:rFonts w:cstheme="minorHAnsi"/>
                <w:color w:val="000000"/>
              </w:rPr>
              <w:t>Pojęcie kultury cyfrowej przyjęta przez Warszawę obejmuje:</w:t>
            </w:r>
          </w:p>
          <w:p w14:paraId="38650361" w14:textId="77777777" w:rsidR="004D7659" w:rsidRPr="004D7659" w:rsidRDefault="004D7659" w:rsidP="00971FA8">
            <w:pPr>
              <w:spacing w:before="72"/>
              <w:ind w:right="504"/>
              <w:rPr>
                <w:rFonts w:cstheme="minorHAnsi"/>
                <w:color w:val="000000"/>
              </w:rPr>
            </w:pPr>
            <w:r w:rsidRPr="004D7659">
              <w:rPr>
                <w:rFonts w:cstheme="minorHAnsi"/>
                <w:color w:val="000000"/>
              </w:rPr>
              <w:t>- postawy i motywacje</w:t>
            </w:r>
          </w:p>
          <w:p w14:paraId="163F6699" w14:textId="77777777" w:rsidR="004D7659" w:rsidRPr="004D7659" w:rsidRDefault="004D7659" w:rsidP="00971FA8">
            <w:pPr>
              <w:spacing w:before="72"/>
              <w:ind w:right="504"/>
              <w:rPr>
                <w:rFonts w:cstheme="minorHAnsi"/>
                <w:color w:val="000000"/>
              </w:rPr>
            </w:pPr>
            <w:r w:rsidRPr="004D7659">
              <w:rPr>
                <w:rFonts w:cstheme="minorHAnsi"/>
                <w:color w:val="000000"/>
              </w:rPr>
              <w:t>- potrzeby i oczekiwania</w:t>
            </w:r>
          </w:p>
          <w:p w14:paraId="194FC491" w14:textId="77777777" w:rsidR="004D7659" w:rsidRPr="004D7659" w:rsidRDefault="004D7659" w:rsidP="00971FA8">
            <w:pPr>
              <w:spacing w:before="72"/>
              <w:ind w:right="504"/>
              <w:rPr>
                <w:rFonts w:cstheme="minorHAnsi"/>
                <w:color w:val="000000"/>
              </w:rPr>
            </w:pPr>
            <w:r w:rsidRPr="004D7659">
              <w:rPr>
                <w:rFonts w:cstheme="minorHAnsi"/>
                <w:color w:val="000000"/>
              </w:rPr>
              <w:t>- wiedzę i umiejętności (kompetencje cyfrowe)</w:t>
            </w:r>
          </w:p>
          <w:p w14:paraId="24349F02" w14:textId="77777777" w:rsidR="004D7659" w:rsidRPr="004D7659" w:rsidRDefault="004D7659" w:rsidP="00971FA8">
            <w:pPr>
              <w:spacing w:before="72"/>
              <w:ind w:right="504"/>
              <w:rPr>
                <w:rFonts w:cstheme="minorHAnsi"/>
                <w:color w:val="000000"/>
              </w:rPr>
            </w:pPr>
            <w:r w:rsidRPr="004D7659">
              <w:rPr>
                <w:rFonts w:cstheme="minorHAnsi"/>
                <w:color w:val="000000"/>
              </w:rPr>
              <w:t>- możliwości i ograniczenia</w:t>
            </w:r>
          </w:p>
          <w:p w14:paraId="11C4C946" w14:textId="77777777" w:rsidR="004D7659" w:rsidRPr="004D7659" w:rsidRDefault="004D7659" w:rsidP="00971FA8">
            <w:pPr>
              <w:spacing w:before="72"/>
              <w:ind w:right="504"/>
              <w:rPr>
                <w:rFonts w:cstheme="minorHAnsi"/>
                <w:color w:val="000000"/>
              </w:rPr>
            </w:pPr>
            <w:r w:rsidRPr="004D7659">
              <w:rPr>
                <w:rFonts w:cstheme="minorHAnsi"/>
                <w:color w:val="000000"/>
              </w:rPr>
              <w:t>- stopień zaufania</w:t>
            </w:r>
          </w:p>
          <w:p w14:paraId="456A4916" w14:textId="77777777" w:rsidR="004D7659" w:rsidRPr="00C7370A" w:rsidRDefault="004D7659" w:rsidP="00971FA8">
            <w:pPr>
              <w:spacing w:before="72"/>
              <w:ind w:right="504"/>
              <w:rPr>
                <w:rFonts w:cstheme="minorHAnsi"/>
                <w:color w:val="000000"/>
              </w:rPr>
            </w:pPr>
            <w:r w:rsidRPr="004D7659">
              <w:rPr>
                <w:rFonts w:cstheme="minorHAnsi"/>
                <w:color w:val="000000"/>
              </w:rPr>
              <w:t>- stopień zaangażowania.</w:t>
            </w:r>
          </w:p>
        </w:tc>
        <w:tc>
          <w:tcPr>
            <w:tcW w:w="3638" w:type="dxa"/>
          </w:tcPr>
          <w:p w14:paraId="1982B5D9" w14:textId="31B5B281" w:rsidR="008317C4" w:rsidRPr="00457570" w:rsidRDefault="00457570" w:rsidP="00457570">
            <w:pPr>
              <w:rPr>
                <w:rFonts w:cstheme="minorHAnsi"/>
              </w:rPr>
            </w:pPr>
            <w:r w:rsidRPr="00457570">
              <w:rPr>
                <w:rFonts w:cstheme="minorHAnsi"/>
                <w:color w:val="242424"/>
                <w:shd w:val="clear" w:color="auto" w:fill="FFFFFF"/>
              </w:rPr>
              <w:lastRenderedPageBreak/>
              <w:t xml:space="preserve">Uwaga wyjaśniona. </w:t>
            </w:r>
          </w:p>
        </w:tc>
      </w:tr>
      <w:tr w:rsidR="008317C4" w14:paraId="65C0E0BC" w14:textId="77777777" w:rsidTr="00681E52">
        <w:tc>
          <w:tcPr>
            <w:tcW w:w="768" w:type="dxa"/>
            <w:vAlign w:val="center"/>
          </w:tcPr>
          <w:p w14:paraId="45E5BD0A" w14:textId="77777777" w:rsidR="008317C4" w:rsidRDefault="008317C4" w:rsidP="00971FA8">
            <w:pPr>
              <w:pStyle w:val="Akapitzlist"/>
              <w:numPr>
                <w:ilvl w:val="0"/>
                <w:numId w:val="1"/>
              </w:numPr>
            </w:pPr>
          </w:p>
        </w:tc>
        <w:tc>
          <w:tcPr>
            <w:tcW w:w="2200" w:type="dxa"/>
          </w:tcPr>
          <w:p w14:paraId="19920792" w14:textId="77777777" w:rsidR="008317C4" w:rsidRPr="008317C4" w:rsidRDefault="008317C4" w:rsidP="00971FA8">
            <w:pPr>
              <w:rPr>
                <w:bCs/>
              </w:rPr>
            </w:pPr>
            <w:r w:rsidRPr="00EE198F">
              <w:rPr>
                <w:bCs/>
              </w:rPr>
              <w:t>Unia Metropolii Polskich</w:t>
            </w:r>
          </w:p>
        </w:tc>
        <w:tc>
          <w:tcPr>
            <w:tcW w:w="2686" w:type="dxa"/>
          </w:tcPr>
          <w:p w14:paraId="123924D6" w14:textId="77777777" w:rsidR="008317C4" w:rsidRDefault="004D7659" w:rsidP="00971FA8">
            <w:r>
              <w:t>Str. 43</w:t>
            </w:r>
          </w:p>
        </w:tc>
        <w:tc>
          <w:tcPr>
            <w:tcW w:w="4737" w:type="dxa"/>
          </w:tcPr>
          <w:p w14:paraId="3546F372" w14:textId="77777777" w:rsidR="008317C4" w:rsidRDefault="004D7659" w:rsidP="00971FA8">
            <w:pPr>
              <w:spacing w:before="72"/>
              <w:ind w:right="504"/>
              <w:rPr>
                <w:rFonts w:cstheme="minorHAnsi"/>
                <w:i/>
                <w:color w:val="000000"/>
              </w:rPr>
            </w:pPr>
            <w:r w:rsidRPr="004D7659">
              <w:rPr>
                <w:rFonts w:cstheme="minorHAnsi"/>
                <w:i/>
                <w:color w:val="000000"/>
              </w:rPr>
              <w:t>Brakuje w dokumencie podkreślenia ważnej roli jaką w procesie podnoszenia kompetencji cyfrowych pełnić mogą organizacje pozarządowe (NGO).</w:t>
            </w:r>
          </w:p>
          <w:p w14:paraId="7DF61DC0" w14:textId="77777777" w:rsidR="004D7659" w:rsidRPr="004D7659" w:rsidRDefault="004D7659" w:rsidP="00971FA8">
            <w:pPr>
              <w:spacing w:before="72"/>
              <w:ind w:right="504"/>
              <w:rPr>
                <w:rFonts w:cstheme="minorHAnsi"/>
                <w:color w:val="000000"/>
              </w:rPr>
            </w:pPr>
            <w:r w:rsidRPr="004D7659">
              <w:rPr>
                <w:rFonts w:cstheme="minorHAnsi"/>
                <w:color w:val="000000"/>
              </w:rPr>
              <w:t>Uzasadnienie: Wiele NGO bardzo chętnie podzieli się swoimi doświadczeniami i przyłączy do działań. Warszawa bardzo ceni sobie współpracę z Fundacjami, Stowarzyszeniami itp. w ramach Branżowej Komisji Dialogu Społecznego ds. Cyfryzacji.</w:t>
            </w:r>
          </w:p>
        </w:tc>
        <w:tc>
          <w:tcPr>
            <w:tcW w:w="3638" w:type="dxa"/>
          </w:tcPr>
          <w:p w14:paraId="65E03793" w14:textId="1DF743ED" w:rsidR="008317C4" w:rsidRDefault="00545148" w:rsidP="00971FA8">
            <w:r>
              <w:rPr>
                <w:bCs/>
              </w:rPr>
              <w:t>U</w:t>
            </w:r>
            <w:r w:rsidR="001904EF">
              <w:rPr>
                <w:bCs/>
              </w:rPr>
              <w:t>waga u</w:t>
            </w:r>
            <w:r>
              <w:rPr>
                <w:bCs/>
              </w:rPr>
              <w:t>względnion</w:t>
            </w:r>
            <w:r w:rsidR="001904EF">
              <w:rPr>
                <w:bCs/>
              </w:rPr>
              <w:t>a</w:t>
            </w:r>
            <w:r>
              <w:rPr>
                <w:bCs/>
              </w:rPr>
              <w:t xml:space="preserve">. </w:t>
            </w:r>
            <w:r w:rsidR="004D7659" w:rsidRPr="004D7659">
              <w:rPr>
                <w:bCs/>
              </w:rPr>
              <w:t xml:space="preserve">Doceniamy istotną rolę NGO dla rozwoju kompetencji cyfrowych, dlatego NGO są wpisane do wielu działań jako podmioty </w:t>
            </w:r>
            <w:r w:rsidR="00527DAD">
              <w:rPr>
                <w:bCs/>
              </w:rPr>
              <w:t xml:space="preserve">dobrowolnie </w:t>
            </w:r>
            <w:r w:rsidR="004D7659" w:rsidRPr="004D7659">
              <w:rPr>
                <w:bCs/>
              </w:rPr>
              <w:t>współpracujące.</w:t>
            </w:r>
          </w:p>
        </w:tc>
      </w:tr>
      <w:tr w:rsidR="008317C4" w14:paraId="5B65E7E0" w14:textId="77777777" w:rsidTr="00681E52">
        <w:tc>
          <w:tcPr>
            <w:tcW w:w="768" w:type="dxa"/>
            <w:vAlign w:val="center"/>
          </w:tcPr>
          <w:p w14:paraId="337A8070" w14:textId="77777777" w:rsidR="008317C4" w:rsidRDefault="008317C4" w:rsidP="00971FA8">
            <w:pPr>
              <w:pStyle w:val="Akapitzlist"/>
              <w:numPr>
                <w:ilvl w:val="0"/>
                <w:numId w:val="1"/>
              </w:numPr>
            </w:pPr>
          </w:p>
        </w:tc>
        <w:tc>
          <w:tcPr>
            <w:tcW w:w="2200" w:type="dxa"/>
          </w:tcPr>
          <w:p w14:paraId="7D9E10FD" w14:textId="77777777" w:rsidR="008317C4" w:rsidRPr="008317C4" w:rsidRDefault="008317C4" w:rsidP="00971FA8">
            <w:pPr>
              <w:rPr>
                <w:bCs/>
              </w:rPr>
            </w:pPr>
            <w:r w:rsidRPr="00EE198F">
              <w:rPr>
                <w:bCs/>
              </w:rPr>
              <w:t>Unia Metropolii Polskich</w:t>
            </w:r>
          </w:p>
        </w:tc>
        <w:tc>
          <w:tcPr>
            <w:tcW w:w="2686" w:type="dxa"/>
          </w:tcPr>
          <w:p w14:paraId="33FEC4FA" w14:textId="77777777" w:rsidR="008317C4" w:rsidRDefault="004D7659" w:rsidP="00971FA8">
            <w:r>
              <w:t>Str. 45</w:t>
            </w:r>
          </w:p>
        </w:tc>
        <w:tc>
          <w:tcPr>
            <w:tcW w:w="4737" w:type="dxa"/>
          </w:tcPr>
          <w:p w14:paraId="4FD78974" w14:textId="77777777" w:rsidR="008317C4" w:rsidRDefault="004D7659" w:rsidP="00971FA8">
            <w:pPr>
              <w:spacing w:before="72"/>
              <w:ind w:right="504"/>
              <w:rPr>
                <w:rFonts w:cstheme="minorHAnsi"/>
                <w:i/>
                <w:color w:val="000000"/>
              </w:rPr>
            </w:pPr>
            <w:r w:rsidRPr="004D7659">
              <w:rPr>
                <w:rFonts w:cstheme="minorHAnsi"/>
                <w:i/>
                <w:color w:val="000000"/>
              </w:rPr>
              <w:t>Punkt 6.4 nie mówi o żadnej inicjatywie.</w:t>
            </w:r>
          </w:p>
          <w:p w14:paraId="1AC110CB"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Otwarte dane (także dla Warszawy) są istotnym aspektem zmiany cyfrowej rzeczywistości na całym świecie. Zawierają potencjał na nowe usług, pozwalają budować ciekawe analizy z zakresu </w:t>
            </w:r>
            <w:proofErr w:type="spellStart"/>
            <w:r w:rsidRPr="004D7659">
              <w:rPr>
                <w:rFonts w:cstheme="minorHAnsi"/>
                <w:color w:val="000000"/>
              </w:rPr>
              <w:t>BigData</w:t>
            </w:r>
            <w:proofErr w:type="spellEnd"/>
            <w:r w:rsidRPr="004D7659">
              <w:rPr>
                <w:rFonts w:cstheme="minorHAnsi"/>
                <w:color w:val="000000"/>
              </w:rPr>
              <w:t xml:space="preserve">, uczyć Sztuczną Inteligencję pożądanych </w:t>
            </w:r>
            <w:proofErr w:type="spellStart"/>
            <w:r w:rsidRPr="004D7659">
              <w:rPr>
                <w:rFonts w:cstheme="minorHAnsi"/>
                <w:color w:val="000000"/>
              </w:rPr>
              <w:t>zachowań</w:t>
            </w:r>
            <w:proofErr w:type="spellEnd"/>
            <w:r w:rsidRPr="004D7659">
              <w:rPr>
                <w:rFonts w:cstheme="minorHAnsi"/>
                <w:color w:val="000000"/>
              </w:rPr>
              <w:t xml:space="preserve">. Powinny być więc w programie wymienione, ale nie w tym miejscu. Albo jeśli w tym miejscu to ze </w:t>
            </w:r>
            <w:r w:rsidRPr="004D7659">
              <w:rPr>
                <w:rFonts w:cstheme="minorHAnsi"/>
                <w:color w:val="000000"/>
              </w:rPr>
              <w:lastRenderedPageBreak/>
              <w:t>wskazaniem konkretnych inicjatyw (np. portal https://dane.gov.pl/pl)</w:t>
            </w:r>
          </w:p>
        </w:tc>
        <w:tc>
          <w:tcPr>
            <w:tcW w:w="3638" w:type="dxa"/>
          </w:tcPr>
          <w:p w14:paraId="7BADF390" w14:textId="37470E14" w:rsidR="008317C4" w:rsidRDefault="001904EF" w:rsidP="00971FA8">
            <w:r>
              <w:rPr>
                <w:bCs/>
              </w:rPr>
              <w:lastRenderedPageBreak/>
              <w:t>Uwaga nie</w:t>
            </w:r>
            <w:r w:rsidR="00545148">
              <w:rPr>
                <w:bCs/>
              </w:rPr>
              <w:t>uwzględnion</w:t>
            </w:r>
            <w:r>
              <w:rPr>
                <w:bCs/>
              </w:rPr>
              <w:t>a</w:t>
            </w:r>
            <w:r w:rsidR="00545148">
              <w:rPr>
                <w:bCs/>
              </w:rPr>
              <w:t xml:space="preserve">. </w:t>
            </w:r>
            <w:r w:rsidR="004D7659" w:rsidRPr="004D7659">
              <w:rPr>
                <w:bCs/>
              </w:rPr>
              <w:t>Rozdział dotyczy „osiągnięć Polski w obszarze kompetencji cyfrowych”.</w:t>
            </w:r>
          </w:p>
        </w:tc>
      </w:tr>
      <w:tr w:rsidR="008317C4" w14:paraId="727A755F" w14:textId="77777777" w:rsidTr="00681E52">
        <w:tc>
          <w:tcPr>
            <w:tcW w:w="768" w:type="dxa"/>
            <w:vAlign w:val="center"/>
          </w:tcPr>
          <w:p w14:paraId="6F7D7349" w14:textId="77777777" w:rsidR="008317C4" w:rsidRDefault="008317C4" w:rsidP="00971FA8">
            <w:pPr>
              <w:pStyle w:val="Akapitzlist"/>
              <w:numPr>
                <w:ilvl w:val="0"/>
                <w:numId w:val="1"/>
              </w:numPr>
            </w:pPr>
          </w:p>
        </w:tc>
        <w:tc>
          <w:tcPr>
            <w:tcW w:w="2200" w:type="dxa"/>
          </w:tcPr>
          <w:p w14:paraId="3ABC9B79" w14:textId="77777777" w:rsidR="008317C4" w:rsidRPr="00EE198F" w:rsidRDefault="008317C4" w:rsidP="00971FA8">
            <w:pPr>
              <w:rPr>
                <w:bCs/>
              </w:rPr>
            </w:pPr>
            <w:r w:rsidRPr="00EE198F">
              <w:rPr>
                <w:bCs/>
              </w:rPr>
              <w:t>Unia Metropolii Polskich</w:t>
            </w:r>
          </w:p>
        </w:tc>
        <w:tc>
          <w:tcPr>
            <w:tcW w:w="2686" w:type="dxa"/>
          </w:tcPr>
          <w:p w14:paraId="70A556C8" w14:textId="77777777" w:rsidR="008317C4" w:rsidRDefault="004D7659" w:rsidP="00971FA8">
            <w:r>
              <w:t>Str. 54</w:t>
            </w:r>
          </w:p>
        </w:tc>
        <w:tc>
          <w:tcPr>
            <w:tcW w:w="4737" w:type="dxa"/>
          </w:tcPr>
          <w:p w14:paraId="11FF3118" w14:textId="77777777" w:rsidR="008317C4" w:rsidRDefault="004D7659" w:rsidP="00971FA8">
            <w:pPr>
              <w:spacing w:before="72"/>
              <w:ind w:right="504"/>
              <w:rPr>
                <w:rFonts w:cstheme="minorHAnsi"/>
                <w:i/>
                <w:color w:val="000000"/>
              </w:rPr>
            </w:pPr>
            <w:r w:rsidRPr="004D7659">
              <w:rPr>
                <w:rFonts w:cstheme="minorHAnsi"/>
                <w:i/>
                <w:color w:val="000000"/>
              </w:rPr>
              <w:t>W tabeli 5 i dalej w dokumencie konsekwentnie pominięci są seniorzy, nie są również wymienione wprost inne osoby o szczególnych potrzebach.</w:t>
            </w:r>
          </w:p>
          <w:p w14:paraId="060B11B5" w14:textId="77777777" w:rsidR="004D7659" w:rsidRPr="004D7659" w:rsidRDefault="004D7659" w:rsidP="00971FA8">
            <w:pPr>
              <w:spacing w:before="72"/>
              <w:ind w:right="504"/>
              <w:rPr>
                <w:rFonts w:cstheme="minorHAnsi"/>
                <w:color w:val="000000"/>
              </w:rPr>
            </w:pPr>
            <w:r w:rsidRPr="004D7659">
              <w:rPr>
                <w:rFonts w:cstheme="minorHAnsi"/>
                <w:color w:val="000000"/>
              </w:rPr>
              <w:t>Uzasadnienie: W ramach przeciwdziałania wykluczeniu postulujemy wprowadzenie brakujących grup docelowych i objęcie ich programem. Chyba, że zakładane jest, że tego typu osoby mogą występować w każdej z wymienionych grup – wtedy należy o tym wspomnieć w dokumencie.</w:t>
            </w:r>
          </w:p>
        </w:tc>
        <w:tc>
          <w:tcPr>
            <w:tcW w:w="3638" w:type="dxa"/>
          </w:tcPr>
          <w:p w14:paraId="2A19063C" w14:textId="77777777" w:rsidR="001904EF" w:rsidRDefault="001904EF" w:rsidP="00971FA8">
            <w:pPr>
              <w:rPr>
                <w:bCs/>
              </w:rPr>
            </w:pPr>
            <w:r>
              <w:rPr>
                <w:bCs/>
              </w:rPr>
              <w:t>Uwaga nieuwzględniona</w:t>
            </w:r>
            <w:r w:rsidR="00545148">
              <w:rPr>
                <w:bCs/>
              </w:rPr>
              <w:t>.</w:t>
            </w:r>
          </w:p>
          <w:p w14:paraId="71B2F1C4" w14:textId="5AD00322" w:rsidR="001C6A71" w:rsidRPr="004D7659" w:rsidRDefault="004D7659" w:rsidP="00971FA8">
            <w:pPr>
              <w:rPr>
                <w:bCs/>
              </w:rPr>
            </w:pPr>
            <w:r w:rsidRPr="004D7659">
              <w:rPr>
                <w:bCs/>
              </w:rPr>
              <w:t xml:space="preserve">Przyjęliśmy podział na inne grupy, do których kierujemy działania PRKC. </w:t>
            </w:r>
            <w:r w:rsidR="001C6A71" w:rsidRPr="004D7659">
              <w:rPr>
                <w:bCs/>
              </w:rPr>
              <w:t xml:space="preserve">Osoby starsze, jeśli korzystają z </w:t>
            </w:r>
            <w:proofErr w:type="spellStart"/>
            <w:r w:rsidR="001C6A71" w:rsidRPr="004D7659">
              <w:rPr>
                <w:bCs/>
              </w:rPr>
              <w:t>internetu</w:t>
            </w:r>
            <w:proofErr w:type="spellEnd"/>
            <w:r w:rsidR="001C6A71" w:rsidRPr="004D7659">
              <w:rPr>
                <w:bCs/>
              </w:rPr>
              <w:t xml:space="preserve"> i posiadają podstawowe kompetencje cyfrowe, są zaliczane do „użytkowników technologii cyfrowych”, w przeciwnym wypadku, znajdują się w grupie „osoby stawiające pierwsze kroki w świecie cyfrowym”, której nazwę rozszerzyliśmy  - „osoby stawiające pierwsze kroki w świecie cyfrowym, w tym seniorzy”, aby uwzględnić fakt, że stanowią oni co najmniej 3/4 tej grupy. Planujemy w działalności Klubów Rozwoju Cyfrowego zwrócić szczególną uwagę na potrzeby tej grupy.</w:t>
            </w:r>
          </w:p>
          <w:p w14:paraId="78F1E210" w14:textId="77777777" w:rsidR="008317C4" w:rsidRDefault="001C6A71" w:rsidP="00971FA8">
            <w:r w:rsidRPr="004D7659">
              <w:rPr>
                <w:bCs/>
              </w:rPr>
              <w:t>Szczególnie dla seniorów i osób ze szczególnymi potrzebami dedykowane są działania II.1.1, II.1.5, II.2.1, II.2.6, II.2.7.</w:t>
            </w:r>
          </w:p>
        </w:tc>
      </w:tr>
      <w:tr w:rsidR="008317C4" w14:paraId="524701B7" w14:textId="77777777" w:rsidTr="00681E52">
        <w:tc>
          <w:tcPr>
            <w:tcW w:w="768" w:type="dxa"/>
            <w:vAlign w:val="center"/>
          </w:tcPr>
          <w:p w14:paraId="5EF5BD90" w14:textId="77777777" w:rsidR="008317C4" w:rsidRDefault="008317C4" w:rsidP="00971FA8">
            <w:pPr>
              <w:pStyle w:val="Akapitzlist"/>
              <w:numPr>
                <w:ilvl w:val="0"/>
                <w:numId w:val="1"/>
              </w:numPr>
            </w:pPr>
          </w:p>
        </w:tc>
        <w:tc>
          <w:tcPr>
            <w:tcW w:w="2200" w:type="dxa"/>
          </w:tcPr>
          <w:p w14:paraId="1476277D" w14:textId="77777777" w:rsidR="008317C4" w:rsidRPr="00EE198F" w:rsidRDefault="008317C4" w:rsidP="00971FA8">
            <w:pPr>
              <w:rPr>
                <w:bCs/>
              </w:rPr>
            </w:pPr>
            <w:r w:rsidRPr="00EE198F">
              <w:rPr>
                <w:bCs/>
              </w:rPr>
              <w:t>Unia Metropolii Polskich</w:t>
            </w:r>
          </w:p>
        </w:tc>
        <w:tc>
          <w:tcPr>
            <w:tcW w:w="2686" w:type="dxa"/>
          </w:tcPr>
          <w:p w14:paraId="13D5A8A6" w14:textId="77777777" w:rsidR="008317C4" w:rsidRDefault="004D7659" w:rsidP="00971FA8">
            <w:r>
              <w:t>Str. 56</w:t>
            </w:r>
          </w:p>
        </w:tc>
        <w:tc>
          <w:tcPr>
            <w:tcW w:w="4737" w:type="dxa"/>
          </w:tcPr>
          <w:p w14:paraId="06B3B1AA" w14:textId="77777777" w:rsidR="008317C4" w:rsidRDefault="004D7659" w:rsidP="00971FA8">
            <w:pPr>
              <w:spacing w:before="72"/>
              <w:ind w:right="504"/>
              <w:rPr>
                <w:rFonts w:cstheme="minorHAnsi"/>
                <w:i/>
                <w:color w:val="000000"/>
              </w:rPr>
            </w:pPr>
            <w:r w:rsidRPr="004D7659">
              <w:rPr>
                <w:rFonts w:cstheme="minorHAnsi"/>
                <w:i/>
                <w:color w:val="000000"/>
              </w:rPr>
              <w:t>Przesunięcie „doposażania placówek w niezbędny sprzęt” na początek opisu działania I.1.1</w:t>
            </w:r>
            <w:r>
              <w:rPr>
                <w:rFonts w:cstheme="minorHAnsi"/>
                <w:i/>
                <w:color w:val="000000"/>
              </w:rPr>
              <w:t>.</w:t>
            </w:r>
          </w:p>
          <w:p w14:paraId="36B37391"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Odpowiednie doposażenie placówek ma znaczenie kluczowe. Na etapie przedszkolnym i wczesnoszkolnym powinien to być sprzęt do nauki przez zabawę. Opracowanie najlepszych materiałów i </w:t>
            </w:r>
            <w:r w:rsidRPr="004D7659">
              <w:rPr>
                <w:rFonts w:cstheme="minorHAnsi"/>
                <w:color w:val="000000"/>
              </w:rPr>
              <w:lastRenderedPageBreak/>
              <w:t xml:space="preserve">programów bez odpowiedniego sprzętu mija się z celem. Wydaje się, że dla dzieci potrzebujących rozwojowo więcej ruchu nie może to być sprzęt stacjonarny, czy choćby laptop, tylko urządzenia mobilne. Ogromną szansą dla innowacyjnej gospodarki mogłoby być nie tyle nawet wspieranie placówek stacjonarnym sprzętem, co zachęcanie podmiotów do kreowania ciekawych instalacji interaktywnych, podczas eksploracji których dzieci mogłyby uczyć się bawiąc (patrz PAKT). Ciekawym trendem w edukacji jest też ruch </w:t>
            </w:r>
            <w:proofErr w:type="spellStart"/>
            <w:r w:rsidRPr="004D7659">
              <w:rPr>
                <w:rFonts w:cstheme="minorHAnsi"/>
                <w:i/>
                <w:iCs/>
                <w:color w:val="000000"/>
              </w:rPr>
              <w:t>citizen</w:t>
            </w:r>
            <w:proofErr w:type="spellEnd"/>
            <w:r w:rsidRPr="004D7659">
              <w:rPr>
                <w:rFonts w:cstheme="minorHAnsi"/>
                <w:i/>
                <w:iCs/>
                <w:color w:val="000000"/>
              </w:rPr>
              <w:t xml:space="preserve"> science,</w:t>
            </w:r>
            <w:r w:rsidRPr="004D7659">
              <w:rPr>
                <w:rFonts w:cstheme="minorHAnsi"/>
                <w:color w:val="000000"/>
              </w:rPr>
              <w:t xml:space="preserve"> w ramach którego dzieci i młodzież w ramach realizowanych w placówkach programów i inicjatyw dostarcza wiarygodnych danych opisujących rzeczywistość i otoczenie.</w:t>
            </w:r>
          </w:p>
        </w:tc>
        <w:tc>
          <w:tcPr>
            <w:tcW w:w="3638" w:type="dxa"/>
          </w:tcPr>
          <w:p w14:paraId="595A9408" w14:textId="77777777" w:rsidR="001904EF" w:rsidRDefault="001904EF" w:rsidP="00971FA8">
            <w:pPr>
              <w:rPr>
                <w:bCs/>
              </w:rPr>
            </w:pPr>
            <w:r>
              <w:rPr>
                <w:bCs/>
              </w:rPr>
              <w:lastRenderedPageBreak/>
              <w:t>Uwaga nie</w:t>
            </w:r>
            <w:r w:rsidR="00545148">
              <w:rPr>
                <w:bCs/>
              </w:rPr>
              <w:t>uwzględnion</w:t>
            </w:r>
            <w:r>
              <w:rPr>
                <w:bCs/>
              </w:rPr>
              <w:t>a.</w:t>
            </w:r>
          </w:p>
          <w:p w14:paraId="1D654CFB" w14:textId="7FBEE4C0" w:rsidR="008317C4" w:rsidRDefault="004D7659" w:rsidP="00971FA8">
            <w:r w:rsidRPr="004D7659">
              <w:rPr>
                <w:bCs/>
              </w:rPr>
              <w:t xml:space="preserve">Doposażenie jest bardzo ważne, i traktujemy go jako jeden z filarów rozwoju kompetencji cyfrowych. Wyjaśniamy to również we wstępie Programu oraz to że sam program nie agreguje projektów finansowania infrastruktury, które to będą ujęte w </w:t>
            </w:r>
            <w:r w:rsidRPr="004D7659">
              <w:rPr>
                <w:bCs/>
              </w:rPr>
              <w:lastRenderedPageBreak/>
              <w:t>innych szerszych dokumentach strategicznych dotyczących cyfryzacji edukacji.  Z punktu widzenia PRKC najważniejsze są projekty, których celem jest budowanie kompetencji, zwłaszcza, że na tym etapie cyfryzacji nie startujemy od zera – wiele placówek posiada już sprzęt ICT. Dodatkowo w ramach KPO i perspektywy finansowej 2021-2027 planowane są dalsze inwestycje związane z doposażeniem w sprzęt.</w:t>
            </w:r>
          </w:p>
        </w:tc>
      </w:tr>
      <w:tr w:rsidR="008317C4" w14:paraId="000D6FE7" w14:textId="77777777" w:rsidTr="00681E52">
        <w:tc>
          <w:tcPr>
            <w:tcW w:w="768" w:type="dxa"/>
            <w:vAlign w:val="center"/>
          </w:tcPr>
          <w:p w14:paraId="09199CBB" w14:textId="77777777" w:rsidR="008317C4" w:rsidRDefault="008317C4" w:rsidP="00971FA8">
            <w:pPr>
              <w:pStyle w:val="Akapitzlist"/>
              <w:numPr>
                <w:ilvl w:val="0"/>
                <w:numId w:val="1"/>
              </w:numPr>
            </w:pPr>
          </w:p>
        </w:tc>
        <w:tc>
          <w:tcPr>
            <w:tcW w:w="2200" w:type="dxa"/>
          </w:tcPr>
          <w:p w14:paraId="369E5DD8" w14:textId="77777777" w:rsidR="008317C4" w:rsidRPr="00EE198F" w:rsidRDefault="008317C4" w:rsidP="00971FA8">
            <w:pPr>
              <w:rPr>
                <w:bCs/>
              </w:rPr>
            </w:pPr>
            <w:r w:rsidRPr="00EE198F">
              <w:rPr>
                <w:bCs/>
              </w:rPr>
              <w:t>Unia Metropolii Polskich</w:t>
            </w:r>
          </w:p>
        </w:tc>
        <w:tc>
          <w:tcPr>
            <w:tcW w:w="2686" w:type="dxa"/>
          </w:tcPr>
          <w:p w14:paraId="7482EBE0" w14:textId="77777777" w:rsidR="008317C4" w:rsidRDefault="004D7659" w:rsidP="00971FA8">
            <w:r w:rsidRPr="004D7659">
              <w:rPr>
                <w:lang w:val="en-US"/>
              </w:rPr>
              <w:t>Str. 58, I.2.</w:t>
            </w:r>
          </w:p>
        </w:tc>
        <w:tc>
          <w:tcPr>
            <w:tcW w:w="4737" w:type="dxa"/>
          </w:tcPr>
          <w:p w14:paraId="5D9FEA5B" w14:textId="77777777" w:rsidR="008317C4" w:rsidRDefault="004D7659" w:rsidP="00971FA8">
            <w:pPr>
              <w:spacing w:before="72"/>
              <w:ind w:right="504"/>
              <w:rPr>
                <w:rFonts w:cstheme="minorHAnsi"/>
                <w:i/>
                <w:color w:val="000000"/>
              </w:rPr>
            </w:pPr>
            <w:r w:rsidRPr="004D7659">
              <w:rPr>
                <w:rFonts w:cstheme="minorHAnsi"/>
                <w:i/>
                <w:color w:val="000000"/>
              </w:rPr>
              <w:t>Opis I.2 ignoruje zupełnie aspekt inspirowania młodych ludzi do poszukiwania innowacji na własną rękę.</w:t>
            </w:r>
          </w:p>
          <w:p w14:paraId="5AEE9A2C"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Uczniowie traktowani są w opisie przedmiotowo jako osoby, którym trzeba przekazać jakąś wiedzę opracowaną w ramach „podstawy programowej” przez „odpowiednio przygotowanych nauczycieli”. Pomijana jest rodząca się w szkole podstawowej w młodych ludziach potrzeba sprawczości, chęć eksperymentowania i eksplorowania. Programy w rodzaju „Programu Rozwoju Talentów Informatycznych” skierowanie są zwykle do wąskiego grona dzieci o zdolnościach typowo technicznych. We współczesnych </w:t>
            </w:r>
            <w:r w:rsidRPr="004D7659">
              <w:rPr>
                <w:rFonts w:cstheme="minorHAnsi"/>
                <w:color w:val="000000"/>
              </w:rPr>
              <w:lastRenderedPageBreak/>
              <w:t xml:space="preserve">metodykach wytwórczych rola odpowiednio wykształconego i otwartego na technologie personelu nietechnicznego (np. właściciele biznesowi, analitycy biznesowi) jest nie mniej ważna niż programistów, architektów i </w:t>
            </w:r>
            <w:proofErr w:type="spellStart"/>
            <w:r w:rsidRPr="004D7659">
              <w:rPr>
                <w:rFonts w:cstheme="minorHAnsi"/>
                <w:color w:val="000000"/>
              </w:rPr>
              <w:t>project</w:t>
            </w:r>
            <w:proofErr w:type="spellEnd"/>
            <w:r w:rsidRPr="004D7659">
              <w:rPr>
                <w:rFonts w:cstheme="minorHAnsi"/>
                <w:color w:val="000000"/>
              </w:rPr>
              <w:t xml:space="preserve"> managerów.</w:t>
            </w:r>
          </w:p>
        </w:tc>
        <w:tc>
          <w:tcPr>
            <w:tcW w:w="3638" w:type="dxa"/>
          </w:tcPr>
          <w:p w14:paraId="0E9D6028" w14:textId="2F981227" w:rsidR="004D7659" w:rsidRPr="004D7659" w:rsidRDefault="001904EF" w:rsidP="00971FA8">
            <w:r>
              <w:lastRenderedPageBreak/>
              <w:t>Uwaga nieuwzględniona</w:t>
            </w:r>
            <w:r w:rsidR="00545148">
              <w:t xml:space="preserve">. </w:t>
            </w:r>
            <w:r w:rsidR="004D7659" w:rsidRPr="004D7659">
              <w:t xml:space="preserve">Odpowiedź na potrzebę sprawczości, chęć eksperymentowania i eksplorowania w szkole polskiej jest szerszym zagadnieniem i nie dotyczy tylko kompetencji cyfrowych. CRKC jest świadome tych problemów, jednak PRKC nie jest dokumentem właściwym do ich rozwiązania. </w:t>
            </w:r>
          </w:p>
          <w:p w14:paraId="467E8DA9" w14:textId="77777777" w:rsidR="008317C4" w:rsidRDefault="008317C4" w:rsidP="00971FA8"/>
        </w:tc>
      </w:tr>
      <w:tr w:rsidR="008317C4" w14:paraId="40D83470" w14:textId="77777777" w:rsidTr="00681E52">
        <w:tc>
          <w:tcPr>
            <w:tcW w:w="768" w:type="dxa"/>
            <w:vAlign w:val="center"/>
          </w:tcPr>
          <w:p w14:paraId="1E8AACCA" w14:textId="77777777" w:rsidR="008317C4" w:rsidRDefault="008317C4" w:rsidP="00971FA8">
            <w:pPr>
              <w:pStyle w:val="Akapitzlist"/>
              <w:numPr>
                <w:ilvl w:val="0"/>
                <w:numId w:val="1"/>
              </w:numPr>
            </w:pPr>
          </w:p>
        </w:tc>
        <w:tc>
          <w:tcPr>
            <w:tcW w:w="2200" w:type="dxa"/>
          </w:tcPr>
          <w:p w14:paraId="491379E1" w14:textId="77777777" w:rsidR="008317C4" w:rsidRPr="00EE198F" w:rsidRDefault="008317C4" w:rsidP="00971FA8">
            <w:pPr>
              <w:rPr>
                <w:bCs/>
              </w:rPr>
            </w:pPr>
            <w:r w:rsidRPr="00EE198F">
              <w:rPr>
                <w:bCs/>
              </w:rPr>
              <w:t>Unia Metropolii Polskich</w:t>
            </w:r>
          </w:p>
        </w:tc>
        <w:tc>
          <w:tcPr>
            <w:tcW w:w="2686" w:type="dxa"/>
          </w:tcPr>
          <w:p w14:paraId="0B379292" w14:textId="77777777" w:rsidR="008317C4" w:rsidRDefault="004D7659" w:rsidP="00971FA8">
            <w:r>
              <w:t>Str. 61</w:t>
            </w:r>
          </w:p>
        </w:tc>
        <w:tc>
          <w:tcPr>
            <w:tcW w:w="4737" w:type="dxa"/>
          </w:tcPr>
          <w:p w14:paraId="6DFE98BE" w14:textId="77777777" w:rsidR="008317C4" w:rsidRDefault="004D7659" w:rsidP="00971FA8">
            <w:pPr>
              <w:spacing w:before="72"/>
              <w:ind w:right="504"/>
              <w:rPr>
                <w:rFonts w:cstheme="minorHAnsi"/>
                <w:i/>
                <w:color w:val="000000"/>
              </w:rPr>
            </w:pPr>
            <w:r w:rsidRPr="004D7659">
              <w:rPr>
                <w:rFonts w:cstheme="minorHAnsi"/>
                <w:i/>
                <w:color w:val="000000"/>
              </w:rPr>
              <w:t>Brak w dokumencie podkreślenia, jak istotną rolę w informatyce pełnią rozwiązania open-</w:t>
            </w:r>
            <w:proofErr w:type="spellStart"/>
            <w:r w:rsidRPr="004D7659">
              <w:rPr>
                <w:rFonts w:cstheme="minorHAnsi"/>
                <w:i/>
                <w:color w:val="000000"/>
              </w:rPr>
              <w:t>source</w:t>
            </w:r>
            <w:proofErr w:type="spellEnd"/>
            <w:r w:rsidRPr="004D7659">
              <w:rPr>
                <w:rFonts w:cstheme="minorHAnsi"/>
                <w:i/>
                <w:color w:val="000000"/>
              </w:rPr>
              <w:t>.</w:t>
            </w:r>
          </w:p>
          <w:p w14:paraId="5B36A995"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Open Source (obok wspomnianego w dokumencie Open Data) jest bodajże jednym z najważniejszych trendów współczesnej informatyki. Nie powinien być on przedstawiany jako zastępstwo płatnych rozwiązań, ale jako kosztowo optymalna alternatywa lub baza dla nowych projektów z zakresu ICT. W ramach wszystkich działań cyfrowych, zwłaszcza wśród pracowników rządowych wszystkich szczebli i pracowników JST potrzebna jest świadomość budowania rozwiązań z myślą o </w:t>
            </w:r>
            <w:proofErr w:type="spellStart"/>
            <w:r w:rsidRPr="004D7659">
              <w:rPr>
                <w:rFonts w:cstheme="minorHAnsi"/>
                <w:color w:val="000000"/>
              </w:rPr>
              <w:t>reużywalności</w:t>
            </w:r>
            <w:proofErr w:type="spellEnd"/>
            <w:r w:rsidRPr="004D7659">
              <w:rPr>
                <w:rFonts w:cstheme="minorHAnsi"/>
                <w:color w:val="000000"/>
              </w:rPr>
              <w:t xml:space="preserve"> i chęć korzystania z rozwiązań zbudowanych przez innych. Do tego celu celowym wydaje się stworzenie i rozpropagowanie centralnego rejestru narzędzi informatycznych, do których prawa korzystania nie są ograniczone przez komercyjne licencje. Dzięki skutecznej wyszukiwarce dowolna jednostka lub nawet mały podmiot gospodarczy mógłby znaleźć odpowiadające mu nie wiążące się z koniecznością ponoszenia wysokich kosztów sprawdzone </w:t>
            </w:r>
            <w:r w:rsidRPr="004D7659">
              <w:rPr>
                <w:rFonts w:cstheme="minorHAnsi"/>
                <w:color w:val="000000"/>
              </w:rPr>
              <w:lastRenderedPageBreak/>
              <w:t xml:space="preserve">narzędzie informatyczne (Warszawa np. dla realizacji swoich procesów partycypacyjnych adaptuje stworzone przez hiszpańską administrację narzędzie </w:t>
            </w:r>
            <w:proofErr w:type="spellStart"/>
            <w:r w:rsidRPr="004D7659">
              <w:rPr>
                <w:rFonts w:cstheme="minorHAnsi"/>
                <w:color w:val="000000"/>
              </w:rPr>
              <w:t>Decidim</w:t>
            </w:r>
            <w:proofErr w:type="spellEnd"/>
            <w:r w:rsidRPr="004D7659">
              <w:rPr>
                <w:rFonts w:cstheme="minorHAnsi"/>
                <w:color w:val="000000"/>
              </w:rPr>
              <w:t xml:space="preserve">). Wykorzystanie rozwiązań typu open </w:t>
            </w:r>
            <w:proofErr w:type="spellStart"/>
            <w:r w:rsidRPr="004D7659">
              <w:rPr>
                <w:rFonts w:cstheme="minorHAnsi"/>
                <w:color w:val="000000"/>
              </w:rPr>
              <w:t>source</w:t>
            </w:r>
            <w:proofErr w:type="spellEnd"/>
            <w:r w:rsidRPr="004D7659">
              <w:rPr>
                <w:rFonts w:cstheme="minorHAnsi"/>
                <w:color w:val="000000"/>
              </w:rPr>
              <w:t xml:space="preserve"> deklarowane jest w </w:t>
            </w:r>
            <w:r w:rsidRPr="004D7659">
              <w:rPr>
                <w:rFonts w:cstheme="minorHAnsi"/>
                <w:i/>
                <w:iCs/>
                <w:color w:val="000000"/>
                <w:u w:val="single"/>
              </w:rPr>
              <w:t>Polityce cyfrowej transformacji m.st. Warszawy, Zarządzenie nr 1494/2020 Prezydenta m.st. Warszawy).</w:t>
            </w:r>
          </w:p>
        </w:tc>
        <w:tc>
          <w:tcPr>
            <w:tcW w:w="3638" w:type="dxa"/>
          </w:tcPr>
          <w:p w14:paraId="5B149D02" w14:textId="2D11D259" w:rsidR="008317C4" w:rsidRDefault="001904EF" w:rsidP="00971FA8">
            <w:r>
              <w:lastRenderedPageBreak/>
              <w:t>Uwaga nie</w:t>
            </w:r>
            <w:r w:rsidR="00545148">
              <w:t>uwzględnion</w:t>
            </w:r>
            <w:r>
              <w:t>a</w:t>
            </w:r>
            <w:r w:rsidR="00545148">
              <w:t xml:space="preserve">. </w:t>
            </w:r>
            <w:r w:rsidR="004D7659" w:rsidRPr="004D7659">
              <w:t>Rozwiązania open-</w:t>
            </w:r>
            <w:proofErr w:type="spellStart"/>
            <w:r w:rsidR="004D7659" w:rsidRPr="004D7659">
              <w:t>source</w:t>
            </w:r>
            <w:proofErr w:type="spellEnd"/>
            <w:r w:rsidR="004D7659" w:rsidRPr="004D7659">
              <w:t xml:space="preserve"> są ważne z punktu widzenia rozwoju cyfryzacji jednak uwaga nie jest adresowana do tematu programu dotyczącego kompetencji cyfrowych.</w:t>
            </w:r>
          </w:p>
        </w:tc>
      </w:tr>
      <w:tr w:rsidR="008317C4" w14:paraId="66225F79" w14:textId="77777777" w:rsidTr="00681E52">
        <w:tc>
          <w:tcPr>
            <w:tcW w:w="768" w:type="dxa"/>
            <w:vAlign w:val="center"/>
          </w:tcPr>
          <w:p w14:paraId="416076F1" w14:textId="77777777" w:rsidR="008317C4" w:rsidRDefault="008317C4" w:rsidP="00971FA8">
            <w:pPr>
              <w:pStyle w:val="Akapitzlist"/>
              <w:numPr>
                <w:ilvl w:val="0"/>
                <w:numId w:val="1"/>
              </w:numPr>
            </w:pPr>
          </w:p>
        </w:tc>
        <w:tc>
          <w:tcPr>
            <w:tcW w:w="2200" w:type="dxa"/>
          </w:tcPr>
          <w:p w14:paraId="2CBFD59E" w14:textId="77777777" w:rsidR="008317C4" w:rsidRPr="00EE198F" w:rsidRDefault="008317C4" w:rsidP="00971FA8">
            <w:pPr>
              <w:rPr>
                <w:bCs/>
              </w:rPr>
            </w:pPr>
            <w:r w:rsidRPr="00EE198F">
              <w:rPr>
                <w:bCs/>
              </w:rPr>
              <w:t>Unia Metropolii Polskich</w:t>
            </w:r>
          </w:p>
        </w:tc>
        <w:tc>
          <w:tcPr>
            <w:tcW w:w="2686" w:type="dxa"/>
          </w:tcPr>
          <w:p w14:paraId="5672CE9C" w14:textId="77777777" w:rsidR="008317C4" w:rsidRDefault="004D7659" w:rsidP="00971FA8">
            <w:r>
              <w:t>Str. 62</w:t>
            </w:r>
          </w:p>
        </w:tc>
        <w:tc>
          <w:tcPr>
            <w:tcW w:w="4737" w:type="dxa"/>
          </w:tcPr>
          <w:p w14:paraId="0D6D2A11" w14:textId="77777777" w:rsidR="008317C4" w:rsidRDefault="004D7659" w:rsidP="00971FA8">
            <w:pPr>
              <w:spacing w:before="72"/>
              <w:ind w:right="504"/>
              <w:rPr>
                <w:rFonts w:cstheme="minorHAnsi"/>
                <w:i/>
                <w:color w:val="000000"/>
              </w:rPr>
            </w:pPr>
            <w:r w:rsidRPr="004D7659">
              <w:rPr>
                <w:rFonts w:cstheme="minorHAnsi"/>
                <w:i/>
                <w:color w:val="000000"/>
              </w:rPr>
              <w:t>Brak w dokumencie programu nakierowanego na zagwarantowanie uczniom/studentom/nauczycielom i edukatorom kontaktu z posiadającymi charyzmę osobami z branży informatycznej.</w:t>
            </w:r>
          </w:p>
          <w:p w14:paraId="2FF3772A"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w:t>
            </w:r>
            <w:r w:rsidR="00541901" w:rsidRPr="00541901">
              <w:rPr>
                <w:rFonts w:cstheme="minorHAnsi"/>
                <w:color w:val="000000"/>
              </w:rPr>
              <w:t xml:space="preserve">Zbyt duży nacisk kładziony jest na nauczycieli, którzy w praktyce dość często nie mają styczności z najnowszymi trendami w informatyce, bo nie pracują w branży. Nauczyciele obarczeni są też nadmierną biurokracją, przez co mogą nawet nie mieć czasu na bycie na bieżąco w świecie technologii. Dodatkowym problemem jest niedobór kadry nauczycielskiej. Jak pokazuje choćby sukces programu </w:t>
            </w:r>
            <w:proofErr w:type="spellStart"/>
            <w:r w:rsidR="00541901" w:rsidRPr="00541901">
              <w:rPr>
                <w:rFonts w:cstheme="minorHAnsi"/>
                <w:color w:val="000000"/>
              </w:rPr>
              <w:t>TEDx</w:t>
            </w:r>
            <w:proofErr w:type="spellEnd"/>
            <w:r w:rsidR="00541901" w:rsidRPr="00541901">
              <w:rPr>
                <w:rFonts w:cstheme="minorHAnsi"/>
                <w:color w:val="000000"/>
              </w:rPr>
              <w:t xml:space="preserve"> kontakt z mistrzami w danej dziedzinie, pobudzające wyobraźnię prezentacje i prelekcje mogą być doskonałą drogą do pobudzania wyobraźni tak młodych ludzi, jak i ich nauczycieli. W tym celu po raz kolejny zarysowuje się konieczność szerszej potrzeby działań we współpracy z przedstawicielami nauki, NGO i biznesu. Szeroka wymiana koncepcji także w zakresie </w:t>
            </w:r>
            <w:r w:rsidR="00541901" w:rsidRPr="00541901">
              <w:rPr>
                <w:rFonts w:cstheme="minorHAnsi"/>
                <w:color w:val="000000"/>
              </w:rPr>
              <w:lastRenderedPageBreak/>
              <w:t>informatyki indukuje innowacyjne myślenie będące podstawą przemysłu 4.0.</w:t>
            </w:r>
          </w:p>
        </w:tc>
        <w:tc>
          <w:tcPr>
            <w:tcW w:w="3638" w:type="dxa"/>
          </w:tcPr>
          <w:p w14:paraId="2A2F4772" w14:textId="6DE7E221" w:rsidR="00541901" w:rsidRPr="00541901" w:rsidRDefault="00545148" w:rsidP="00971FA8">
            <w:r>
              <w:lastRenderedPageBreak/>
              <w:t>U</w:t>
            </w:r>
            <w:r w:rsidR="001904EF">
              <w:t>waga u</w:t>
            </w:r>
            <w:r>
              <w:t>względnion</w:t>
            </w:r>
            <w:r w:rsidR="001904EF">
              <w:t>a</w:t>
            </w:r>
            <w:r>
              <w:t xml:space="preserve">. </w:t>
            </w:r>
            <w:r w:rsidR="00541901" w:rsidRPr="00541901">
              <w:t xml:space="preserve">To bardzo istotna uwaga. Zgodnie z nią, w porozumieniu z </w:t>
            </w:r>
            <w:proofErr w:type="spellStart"/>
            <w:r w:rsidR="00541901" w:rsidRPr="00541901">
              <w:t>MEiN</w:t>
            </w:r>
            <w:proofErr w:type="spellEnd"/>
            <w:r w:rsidR="00541901" w:rsidRPr="00541901">
              <w:t xml:space="preserve">, zostanie wprowadzone do PRKC działanie dotyczące systemu studiów podyplomowych nadających uprawnienia do nauczania informatyki osobom nie będącym nauczycielami. W PRKC znajduje się również </w:t>
            </w:r>
            <w:r w:rsidR="00712DA3">
              <w:t>projekt</w:t>
            </w:r>
            <w:r w:rsidR="00541901" w:rsidRPr="00541901">
              <w:t xml:space="preserve"> Lekcja </w:t>
            </w:r>
            <w:proofErr w:type="spellStart"/>
            <w:r w:rsidR="00541901" w:rsidRPr="00541901">
              <w:t>Enter</w:t>
            </w:r>
            <w:proofErr w:type="spellEnd"/>
            <w:r w:rsidR="00541901" w:rsidRPr="00541901">
              <w:t>. Oprócz tego w CRKC będą prowadzone prace w zakresie rozwoju MOOC oraz szkoleń e-learningowych, gdzie będziemy starali się wykorzystywać charyzmatyczne postaci z branży informatycznej, które osiągnęły sukces zawodowy.</w:t>
            </w:r>
          </w:p>
          <w:p w14:paraId="72D4BB4D" w14:textId="77777777" w:rsidR="008317C4" w:rsidRDefault="008317C4" w:rsidP="00971FA8"/>
        </w:tc>
      </w:tr>
      <w:tr w:rsidR="008317C4" w14:paraId="1D6A76F7" w14:textId="77777777" w:rsidTr="00681E52">
        <w:tc>
          <w:tcPr>
            <w:tcW w:w="768" w:type="dxa"/>
            <w:vAlign w:val="center"/>
          </w:tcPr>
          <w:p w14:paraId="4FB59161" w14:textId="77777777" w:rsidR="008317C4" w:rsidRDefault="008317C4" w:rsidP="00971FA8">
            <w:pPr>
              <w:pStyle w:val="Akapitzlist"/>
              <w:numPr>
                <w:ilvl w:val="0"/>
                <w:numId w:val="1"/>
              </w:numPr>
            </w:pPr>
          </w:p>
        </w:tc>
        <w:tc>
          <w:tcPr>
            <w:tcW w:w="2200" w:type="dxa"/>
          </w:tcPr>
          <w:p w14:paraId="039709B6" w14:textId="77777777" w:rsidR="008317C4" w:rsidRPr="00EE198F" w:rsidRDefault="0057563D" w:rsidP="00971FA8">
            <w:pPr>
              <w:rPr>
                <w:bCs/>
              </w:rPr>
            </w:pPr>
            <w:r w:rsidRPr="0057563D">
              <w:rPr>
                <w:bCs/>
              </w:rPr>
              <w:t>Związek Powiatów Polskich</w:t>
            </w:r>
          </w:p>
        </w:tc>
        <w:tc>
          <w:tcPr>
            <w:tcW w:w="2686" w:type="dxa"/>
          </w:tcPr>
          <w:p w14:paraId="545C4BEE" w14:textId="77777777" w:rsidR="008317C4" w:rsidRDefault="0057563D" w:rsidP="00971FA8">
            <w:r w:rsidRPr="0057563D">
              <w:t>Działanie 1.4.5. Cyfrowy latarnik  s. 66</w:t>
            </w:r>
          </w:p>
        </w:tc>
        <w:tc>
          <w:tcPr>
            <w:tcW w:w="4737" w:type="dxa"/>
          </w:tcPr>
          <w:p w14:paraId="73D9C7DE" w14:textId="77777777" w:rsidR="008317C4" w:rsidRDefault="0057563D" w:rsidP="00971FA8">
            <w:pPr>
              <w:spacing w:before="72"/>
              <w:ind w:right="504"/>
              <w:rPr>
                <w:rFonts w:cstheme="minorHAnsi"/>
                <w:color w:val="000000"/>
              </w:rPr>
            </w:pPr>
            <w:r w:rsidRPr="0057563D">
              <w:rPr>
                <w:rFonts w:cstheme="minorHAnsi"/>
                <w:color w:val="000000"/>
              </w:rPr>
              <w:t>Czy JST będą współfinansować zadanie? Jak będzie wyglądało finansowanie funkcjonowania nauczycieli-koordynatorów po zakończeniu działań projektowych.</w:t>
            </w:r>
          </w:p>
          <w:p w14:paraId="04D58AC2" w14:textId="77777777" w:rsidR="0057563D" w:rsidRPr="0057563D" w:rsidRDefault="0057563D" w:rsidP="00971FA8">
            <w:pPr>
              <w:spacing w:before="72"/>
              <w:ind w:right="504"/>
              <w:rPr>
                <w:rFonts w:cstheme="minorHAnsi"/>
                <w:color w:val="000000"/>
              </w:rPr>
            </w:pPr>
            <w:r>
              <w:rPr>
                <w:rFonts w:cstheme="minorHAnsi"/>
                <w:color w:val="000000"/>
              </w:rPr>
              <w:t xml:space="preserve">Uzasadnienie: </w:t>
            </w:r>
            <w:r w:rsidRPr="0057563D">
              <w:rPr>
                <w:rFonts w:cstheme="minorHAnsi"/>
                <w:color w:val="000000"/>
              </w:rPr>
              <w:t xml:space="preserve">Jako źródło finansowania zadania wskazano EFRS 2021-2027 oraz budżet państwa. </w:t>
            </w:r>
          </w:p>
          <w:p w14:paraId="0F38F8BD" w14:textId="77777777" w:rsidR="0057563D" w:rsidRPr="00C7370A" w:rsidRDefault="0057563D" w:rsidP="00971FA8">
            <w:pPr>
              <w:spacing w:before="72"/>
              <w:ind w:right="504"/>
              <w:rPr>
                <w:rFonts w:cstheme="minorHAnsi"/>
                <w:color w:val="000000"/>
              </w:rPr>
            </w:pPr>
            <w:r w:rsidRPr="0057563D">
              <w:rPr>
                <w:rFonts w:cstheme="minorHAnsi"/>
                <w:color w:val="000000"/>
              </w:rPr>
              <w:t>Tymczasem budżet państwa nie pokrywa w całości kosztów wynikających z zatrudniania nauczycieli.</w:t>
            </w:r>
          </w:p>
        </w:tc>
        <w:tc>
          <w:tcPr>
            <w:tcW w:w="3638" w:type="dxa"/>
          </w:tcPr>
          <w:p w14:paraId="4481A3DF" w14:textId="367016A6" w:rsidR="001904EF" w:rsidRDefault="001904EF" w:rsidP="00971FA8">
            <w:r>
              <w:t>Uwaga wyjaśniona.</w:t>
            </w:r>
          </w:p>
          <w:p w14:paraId="17AB3059" w14:textId="18A9C89B" w:rsidR="008317C4" w:rsidRDefault="0057563D" w:rsidP="00971FA8">
            <w:r w:rsidRPr="0057563D">
              <w:t>Projekt nie ma na celu zatrudniania nauczycieli. Projekt polega na przygotowaniu nauczycieli do pełnienia roli koordynatorów wspierających innych nauczycieli w zakresie rozwijania umiejętności cyfrowych uczniów. Przygotowanie obejmie podnoszenie zarówno umiejętności cyfrowych jak i kompetencji metodycznych nauczycieli. Zadania przewidziane w pr</w:t>
            </w:r>
            <w:r>
              <w:t>ojekcie zostaną sfinansowane z F</w:t>
            </w:r>
            <w:r w:rsidRPr="0057563D">
              <w:t>ERS 2021-2027 oraz budżetu państwa.</w:t>
            </w:r>
          </w:p>
        </w:tc>
      </w:tr>
      <w:tr w:rsidR="008317C4" w14:paraId="1EF35CB0" w14:textId="77777777" w:rsidTr="00681E52">
        <w:tc>
          <w:tcPr>
            <w:tcW w:w="768" w:type="dxa"/>
            <w:vAlign w:val="center"/>
          </w:tcPr>
          <w:p w14:paraId="186290CA" w14:textId="77777777" w:rsidR="008317C4" w:rsidRDefault="008317C4" w:rsidP="00971FA8">
            <w:pPr>
              <w:pStyle w:val="Akapitzlist"/>
              <w:numPr>
                <w:ilvl w:val="0"/>
                <w:numId w:val="1"/>
              </w:numPr>
            </w:pPr>
          </w:p>
        </w:tc>
        <w:tc>
          <w:tcPr>
            <w:tcW w:w="2200" w:type="dxa"/>
          </w:tcPr>
          <w:p w14:paraId="18594B8F" w14:textId="77777777" w:rsidR="008317C4" w:rsidRPr="00EE198F" w:rsidRDefault="0057563D" w:rsidP="00971FA8">
            <w:pPr>
              <w:rPr>
                <w:bCs/>
              </w:rPr>
            </w:pPr>
            <w:r w:rsidRPr="0057563D">
              <w:rPr>
                <w:bCs/>
              </w:rPr>
              <w:t>Związek Powiatów Polskich</w:t>
            </w:r>
          </w:p>
        </w:tc>
        <w:tc>
          <w:tcPr>
            <w:tcW w:w="2686" w:type="dxa"/>
          </w:tcPr>
          <w:p w14:paraId="34B46CF0" w14:textId="77777777" w:rsidR="008317C4" w:rsidRDefault="0057563D" w:rsidP="00971FA8">
            <w:r w:rsidRPr="0057563D">
              <w:t>Działanie II.1.1. Stworzenie mechanizmu umożliwiającego trwałe podnoszenie kompetencji</w:t>
            </w:r>
          </w:p>
        </w:tc>
        <w:tc>
          <w:tcPr>
            <w:tcW w:w="4737" w:type="dxa"/>
          </w:tcPr>
          <w:p w14:paraId="08C411AD" w14:textId="77777777" w:rsidR="0057563D" w:rsidRPr="0057563D" w:rsidRDefault="0057563D" w:rsidP="00971FA8">
            <w:pPr>
              <w:spacing w:before="72"/>
              <w:ind w:right="504"/>
              <w:rPr>
                <w:rFonts w:cstheme="minorHAnsi"/>
                <w:color w:val="000000"/>
              </w:rPr>
            </w:pPr>
            <w:r w:rsidRPr="0057563D">
              <w:rPr>
                <w:rFonts w:cstheme="minorHAnsi"/>
                <w:color w:val="000000"/>
              </w:rPr>
              <w:t>Czy koszt pracy edukatorów w Klubach Rozwoju Cyfrowego  nie będzie finansowany?</w:t>
            </w:r>
          </w:p>
          <w:p w14:paraId="64E6CF32" w14:textId="77777777" w:rsidR="008317C4" w:rsidRDefault="0057563D" w:rsidP="00971FA8">
            <w:pPr>
              <w:spacing w:before="72"/>
              <w:ind w:right="504"/>
              <w:rPr>
                <w:rFonts w:cstheme="minorHAnsi"/>
                <w:color w:val="000000"/>
              </w:rPr>
            </w:pPr>
            <w:r w:rsidRPr="0057563D">
              <w:rPr>
                <w:rFonts w:cstheme="minorHAnsi"/>
                <w:color w:val="000000"/>
              </w:rPr>
              <w:t>Jak będzie wyglądał model finansowania KRC po zakończeniu realizacji projektu?</w:t>
            </w:r>
          </w:p>
          <w:p w14:paraId="05A79798" w14:textId="77777777" w:rsidR="0057563D" w:rsidRPr="0057563D" w:rsidRDefault="0057563D" w:rsidP="00971FA8">
            <w:pPr>
              <w:spacing w:before="72"/>
              <w:ind w:right="504"/>
              <w:rPr>
                <w:rFonts w:cstheme="minorHAnsi"/>
                <w:color w:val="000000"/>
              </w:rPr>
            </w:pPr>
            <w:r>
              <w:rPr>
                <w:rFonts w:cstheme="minorHAnsi"/>
                <w:color w:val="000000"/>
              </w:rPr>
              <w:t xml:space="preserve">Uzasadnienie: </w:t>
            </w:r>
            <w:r w:rsidRPr="0057563D">
              <w:rPr>
                <w:rFonts w:cstheme="minorHAnsi"/>
                <w:color w:val="000000"/>
              </w:rPr>
              <w:t xml:space="preserve">W planowanych interwencjach nie wskazano kosztu pracy edukatorów? </w:t>
            </w:r>
          </w:p>
          <w:p w14:paraId="096F6150" w14:textId="77777777" w:rsidR="0057563D" w:rsidRPr="00C7370A" w:rsidRDefault="0057563D" w:rsidP="00971FA8">
            <w:pPr>
              <w:spacing w:before="72"/>
              <w:ind w:right="504"/>
              <w:rPr>
                <w:rFonts w:cstheme="minorHAnsi"/>
                <w:color w:val="000000"/>
              </w:rPr>
            </w:pPr>
            <w:r w:rsidRPr="0057563D">
              <w:rPr>
                <w:rFonts w:cstheme="minorHAnsi"/>
                <w:color w:val="000000"/>
              </w:rPr>
              <w:t>Jeżeli zadanie będzie realizowane m.in. przez jednostki organizacyjne JST rodzi się pytanie jaki zostanie przyjęty model finansowania zadania po zakończeniu działań projektowych.</w:t>
            </w:r>
          </w:p>
        </w:tc>
        <w:tc>
          <w:tcPr>
            <w:tcW w:w="3638" w:type="dxa"/>
          </w:tcPr>
          <w:p w14:paraId="06D815EB" w14:textId="77777777" w:rsidR="001904EF" w:rsidRPr="001904EF" w:rsidRDefault="001904EF" w:rsidP="001904EF">
            <w:r w:rsidRPr="001904EF">
              <w:t>Uwaga wyjaśniona.</w:t>
            </w:r>
          </w:p>
          <w:p w14:paraId="10F4EB4B" w14:textId="77777777" w:rsidR="008317C4" w:rsidRDefault="0057563D" w:rsidP="00971FA8">
            <w:r w:rsidRPr="0057563D">
              <w:t>Planowane jest, że koszt pracy edukatorów będzie finansowany w okresie realizacji projektu. Należy jednak wskazać, że trwają rozmowy z KE na temat modelu działania KRC,  zasad finansowania w okresie realizacji projektu i ostatecznego modelu finansowania po zakończeniu działań projektowych.</w:t>
            </w:r>
          </w:p>
        </w:tc>
      </w:tr>
      <w:tr w:rsidR="0057563D" w14:paraId="6D179C83" w14:textId="77777777" w:rsidTr="00681E52">
        <w:tc>
          <w:tcPr>
            <w:tcW w:w="768" w:type="dxa"/>
            <w:vAlign w:val="center"/>
          </w:tcPr>
          <w:p w14:paraId="79378781" w14:textId="77777777" w:rsidR="0057563D" w:rsidRDefault="0057563D" w:rsidP="00971FA8">
            <w:pPr>
              <w:pStyle w:val="Akapitzlist"/>
              <w:numPr>
                <w:ilvl w:val="0"/>
                <w:numId w:val="1"/>
              </w:numPr>
            </w:pPr>
          </w:p>
        </w:tc>
        <w:tc>
          <w:tcPr>
            <w:tcW w:w="2200" w:type="dxa"/>
          </w:tcPr>
          <w:p w14:paraId="62564936" w14:textId="77777777" w:rsidR="0057563D" w:rsidRPr="0057563D" w:rsidRDefault="0057563D" w:rsidP="00971FA8">
            <w:pPr>
              <w:rPr>
                <w:bCs/>
              </w:rPr>
            </w:pPr>
            <w:r w:rsidRPr="0057563D">
              <w:rPr>
                <w:bCs/>
              </w:rPr>
              <w:t>Związek Powiatów Polskich</w:t>
            </w:r>
          </w:p>
        </w:tc>
        <w:tc>
          <w:tcPr>
            <w:tcW w:w="2686" w:type="dxa"/>
          </w:tcPr>
          <w:p w14:paraId="23438572" w14:textId="77777777" w:rsidR="0057563D" w:rsidRDefault="0057563D" w:rsidP="00971FA8">
            <w:r w:rsidRPr="0057563D">
              <w:t xml:space="preserve">Działanie II.1.5. Szkolenie dla obywateli z </w:t>
            </w:r>
            <w:r w:rsidRPr="0057563D">
              <w:lastRenderedPageBreak/>
              <w:t>kompetencji cyfrowych s. 73</w:t>
            </w:r>
          </w:p>
        </w:tc>
        <w:tc>
          <w:tcPr>
            <w:tcW w:w="4737" w:type="dxa"/>
          </w:tcPr>
          <w:p w14:paraId="70631E4F" w14:textId="77777777" w:rsidR="0057563D" w:rsidRPr="00C7370A" w:rsidRDefault="0057563D" w:rsidP="00971FA8">
            <w:pPr>
              <w:spacing w:before="72"/>
              <w:ind w:right="504"/>
              <w:rPr>
                <w:rFonts w:cstheme="minorHAnsi"/>
                <w:color w:val="000000"/>
              </w:rPr>
            </w:pPr>
            <w:r w:rsidRPr="0057563D">
              <w:rPr>
                <w:rFonts w:cstheme="minorHAnsi"/>
                <w:color w:val="000000"/>
              </w:rPr>
              <w:lastRenderedPageBreak/>
              <w:t>Do podmiotów współpracujących dopisać powiaty.</w:t>
            </w:r>
          </w:p>
        </w:tc>
        <w:tc>
          <w:tcPr>
            <w:tcW w:w="3638" w:type="dxa"/>
          </w:tcPr>
          <w:p w14:paraId="6A1D09A7" w14:textId="77777777" w:rsidR="001904EF" w:rsidRDefault="0057563D" w:rsidP="00971FA8">
            <w:r w:rsidRPr="0057563D">
              <w:t>U</w:t>
            </w:r>
            <w:r w:rsidR="001904EF">
              <w:t>waga u</w:t>
            </w:r>
            <w:r w:rsidRPr="0057563D">
              <w:t>względnion</w:t>
            </w:r>
            <w:r w:rsidR="001904EF">
              <w:t>a</w:t>
            </w:r>
            <w:r w:rsidRPr="0057563D">
              <w:t>.</w:t>
            </w:r>
          </w:p>
          <w:p w14:paraId="258EA9DF" w14:textId="77083B4F" w:rsidR="0057563D" w:rsidRDefault="0057563D" w:rsidP="00971FA8">
            <w:r w:rsidRPr="0057563D">
              <w:lastRenderedPageBreak/>
              <w:t xml:space="preserve">Do podmiotów </w:t>
            </w:r>
            <w:r w:rsidR="00527DAD">
              <w:t xml:space="preserve">dobrowolnie </w:t>
            </w:r>
            <w:r w:rsidR="00545148">
              <w:t>współpracujących zostały</w:t>
            </w:r>
            <w:r w:rsidRPr="0057563D">
              <w:t xml:space="preserve"> dopisane JST.</w:t>
            </w:r>
          </w:p>
        </w:tc>
      </w:tr>
      <w:tr w:rsidR="0057563D" w14:paraId="036EBEAB" w14:textId="77777777" w:rsidTr="00681E52">
        <w:tc>
          <w:tcPr>
            <w:tcW w:w="768" w:type="dxa"/>
            <w:vAlign w:val="center"/>
          </w:tcPr>
          <w:p w14:paraId="3DDC38E3" w14:textId="77777777" w:rsidR="0057563D" w:rsidRDefault="0057563D" w:rsidP="00971FA8">
            <w:pPr>
              <w:pStyle w:val="Akapitzlist"/>
              <w:numPr>
                <w:ilvl w:val="0"/>
                <w:numId w:val="1"/>
              </w:numPr>
            </w:pPr>
          </w:p>
        </w:tc>
        <w:tc>
          <w:tcPr>
            <w:tcW w:w="2200" w:type="dxa"/>
          </w:tcPr>
          <w:p w14:paraId="447F3A80" w14:textId="77777777" w:rsidR="0057563D" w:rsidRPr="0057563D" w:rsidRDefault="0057563D" w:rsidP="00971FA8">
            <w:pPr>
              <w:rPr>
                <w:bCs/>
              </w:rPr>
            </w:pPr>
            <w:r w:rsidRPr="0057563D">
              <w:rPr>
                <w:bCs/>
              </w:rPr>
              <w:t>Związek Powiatów Polskich</w:t>
            </w:r>
          </w:p>
        </w:tc>
        <w:tc>
          <w:tcPr>
            <w:tcW w:w="2686" w:type="dxa"/>
          </w:tcPr>
          <w:p w14:paraId="5FF418C4" w14:textId="77777777" w:rsidR="0057563D" w:rsidRDefault="0057563D" w:rsidP="00971FA8">
            <w:r w:rsidRPr="0057563D">
              <w:t>Działanie II.1.6. Utworzenie sieci liderów kompetencji cyfrowych s. 73</w:t>
            </w:r>
          </w:p>
        </w:tc>
        <w:tc>
          <w:tcPr>
            <w:tcW w:w="4737" w:type="dxa"/>
          </w:tcPr>
          <w:p w14:paraId="3266EFFF" w14:textId="77777777" w:rsidR="0057563D" w:rsidRDefault="0057563D" w:rsidP="00971FA8">
            <w:pPr>
              <w:spacing w:before="72"/>
              <w:ind w:right="504"/>
              <w:rPr>
                <w:rFonts w:cstheme="minorHAnsi"/>
                <w:color w:val="000000"/>
              </w:rPr>
            </w:pPr>
            <w:r w:rsidRPr="0057563D">
              <w:rPr>
                <w:rFonts w:cstheme="minorHAnsi"/>
                <w:color w:val="000000"/>
              </w:rPr>
              <w:t>W opisie działania wskazano, że zostanie wyłonionych i przeszkolonych 2477 lokalnych liderów kompetencji cyfrowych (niemal w każdej gminie w Polsce). Tymczasem największa pod względem powierzchni gmina w Polsce to Pisz – 633,69 km² a najmniejsza  Górowo Iławeckie – 3,32 km². Pod względem liczby mieszkańców największa gmina to Warszawa 1,7 mln ludności, po drugiej stronie jest Krynica Morska z 1300 mieszkańców.</w:t>
            </w:r>
          </w:p>
          <w:p w14:paraId="3211C67B" w14:textId="77777777" w:rsidR="0057563D" w:rsidRPr="00C7370A" w:rsidRDefault="0057563D" w:rsidP="00971FA8">
            <w:pPr>
              <w:spacing w:before="72"/>
              <w:ind w:right="504"/>
              <w:rPr>
                <w:rFonts w:cstheme="minorHAnsi"/>
                <w:color w:val="000000"/>
              </w:rPr>
            </w:pPr>
            <w:r>
              <w:rPr>
                <w:rFonts w:cstheme="minorHAnsi"/>
                <w:color w:val="000000"/>
              </w:rPr>
              <w:t xml:space="preserve">Uzasadnienie: </w:t>
            </w:r>
            <w:r w:rsidR="00777B1A" w:rsidRPr="00777B1A">
              <w:rPr>
                <w:rFonts w:cstheme="minorHAnsi"/>
                <w:color w:val="000000"/>
              </w:rPr>
              <w:t>Wydaje się, że należy dopuścić, aby w niektórych przypadkach koordynatorzy działali na obszarze więcej niż jednej gminy, a w przypadku większych gmin dopuścić możliwość działania na jej terenie kilku/kilkunastu koordynatorów.</w:t>
            </w:r>
          </w:p>
        </w:tc>
        <w:tc>
          <w:tcPr>
            <w:tcW w:w="3638" w:type="dxa"/>
          </w:tcPr>
          <w:p w14:paraId="3E578AC8" w14:textId="77777777" w:rsidR="001904EF" w:rsidRDefault="001904EF" w:rsidP="00971FA8">
            <w:r>
              <w:t xml:space="preserve">Uwaga wyjaśniona. </w:t>
            </w:r>
          </w:p>
          <w:p w14:paraId="6EF8230A" w14:textId="40A2BDC8" w:rsidR="00777B1A" w:rsidRPr="00777B1A" w:rsidRDefault="00777B1A" w:rsidP="00971FA8">
            <w:r w:rsidRPr="00777B1A">
              <w:t>Trwają rozmowy z KE na temat sposobu przyporządkowania  liderów cyfrowych do poszczególnych gmin. Powierzchnia gminy, liczba ludności będą brane pod uwagę przy ostatecznym przyporządkowaniu liderów.</w:t>
            </w:r>
          </w:p>
          <w:p w14:paraId="406525FA" w14:textId="77777777" w:rsidR="0057563D" w:rsidRDefault="0057563D" w:rsidP="00971FA8"/>
        </w:tc>
      </w:tr>
      <w:tr w:rsidR="0057563D" w14:paraId="691C9C3C" w14:textId="77777777" w:rsidTr="00681E52">
        <w:tc>
          <w:tcPr>
            <w:tcW w:w="768" w:type="dxa"/>
            <w:vAlign w:val="center"/>
          </w:tcPr>
          <w:p w14:paraId="4A95473D" w14:textId="77777777" w:rsidR="0057563D" w:rsidRDefault="0057563D" w:rsidP="00971FA8">
            <w:pPr>
              <w:pStyle w:val="Akapitzlist"/>
              <w:numPr>
                <w:ilvl w:val="0"/>
                <w:numId w:val="1"/>
              </w:numPr>
            </w:pPr>
          </w:p>
        </w:tc>
        <w:tc>
          <w:tcPr>
            <w:tcW w:w="2200" w:type="dxa"/>
          </w:tcPr>
          <w:p w14:paraId="5BDAD3F0" w14:textId="77777777" w:rsidR="0057563D" w:rsidRPr="0057563D" w:rsidRDefault="0057563D" w:rsidP="00971FA8">
            <w:pPr>
              <w:rPr>
                <w:bCs/>
              </w:rPr>
            </w:pPr>
            <w:r w:rsidRPr="0057563D">
              <w:rPr>
                <w:bCs/>
              </w:rPr>
              <w:t>Związek Powiatów Polskich</w:t>
            </w:r>
          </w:p>
        </w:tc>
        <w:tc>
          <w:tcPr>
            <w:tcW w:w="2686" w:type="dxa"/>
          </w:tcPr>
          <w:p w14:paraId="750183CA" w14:textId="77777777" w:rsidR="0057563D" w:rsidRDefault="00777B1A" w:rsidP="00971FA8">
            <w:r w:rsidRPr="00777B1A">
              <w:t>Działanie II.2.7. Włączenie cyfrowe w ramach Programu wieloletniego na rzecz Osób Starszych „Aktywni+” s. 77</w:t>
            </w:r>
          </w:p>
        </w:tc>
        <w:tc>
          <w:tcPr>
            <w:tcW w:w="4737" w:type="dxa"/>
          </w:tcPr>
          <w:p w14:paraId="5629C1E9" w14:textId="77777777" w:rsidR="0057563D" w:rsidRDefault="00777B1A" w:rsidP="00971FA8">
            <w:pPr>
              <w:spacing w:before="72"/>
              <w:ind w:right="504"/>
              <w:rPr>
                <w:rFonts w:cstheme="minorHAnsi"/>
                <w:color w:val="000000"/>
              </w:rPr>
            </w:pPr>
            <w:r w:rsidRPr="00777B1A">
              <w:rPr>
                <w:rFonts w:cstheme="minorHAnsi"/>
                <w:color w:val="000000"/>
              </w:rPr>
              <w:t>Jako podmioty współpracujące wskazać również JST.</w:t>
            </w:r>
          </w:p>
          <w:p w14:paraId="1B00E648" w14:textId="77777777" w:rsidR="00777B1A" w:rsidRPr="00C7370A" w:rsidRDefault="00777B1A" w:rsidP="00971FA8">
            <w:pPr>
              <w:spacing w:before="72"/>
              <w:ind w:right="504"/>
              <w:rPr>
                <w:rFonts w:cstheme="minorHAnsi"/>
                <w:color w:val="000000"/>
              </w:rPr>
            </w:pPr>
            <w:r>
              <w:rPr>
                <w:rFonts w:cstheme="minorHAnsi"/>
                <w:color w:val="000000"/>
              </w:rPr>
              <w:t xml:space="preserve">Uzasadnienie: </w:t>
            </w:r>
            <w:r w:rsidRPr="00777B1A">
              <w:rPr>
                <w:rFonts w:cstheme="minorHAnsi"/>
                <w:color w:val="000000"/>
              </w:rPr>
              <w:t>Samorządy realizują zadania na rzecz osób starszych w tym m.in. prowadzą domy Senior+, gdzie takie zadania mogłyby być realizowane.</w:t>
            </w:r>
          </w:p>
        </w:tc>
        <w:tc>
          <w:tcPr>
            <w:tcW w:w="3638" w:type="dxa"/>
          </w:tcPr>
          <w:p w14:paraId="0C8F1B72" w14:textId="7099D6AE" w:rsidR="0057563D" w:rsidRDefault="00777B1A" w:rsidP="00971FA8">
            <w:r>
              <w:t>U</w:t>
            </w:r>
            <w:r w:rsidR="001904EF">
              <w:t>waga u</w:t>
            </w:r>
            <w:r>
              <w:t>względnion</w:t>
            </w:r>
            <w:r w:rsidR="001904EF">
              <w:t>a</w:t>
            </w:r>
            <w:r w:rsidR="00686752">
              <w:t>.</w:t>
            </w:r>
          </w:p>
        </w:tc>
      </w:tr>
      <w:tr w:rsidR="0057563D" w14:paraId="2A8D2DB6" w14:textId="77777777" w:rsidTr="00681E52">
        <w:tc>
          <w:tcPr>
            <w:tcW w:w="768" w:type="dxa"/>
            <w:vAlign w:val="center"/>
          </w:tcPr>
          <w:p w14:paraId="09A29001" w14:textId="77777777" w:rsidR="0057563D" w:rsidRDefault="0057563D" w:rsidP="00971FA8">
            <w:pPr>
              <w:pStyle w:val="Akapitzlist"/>
              <w:numPr>
                <w:ilvl w:val="0"/>
                <w:numId w:val="1"/>
              </w:numPr>
            </w:pPr>
          </w:p>
        </w:tc>
        <w:tc>
          <w:tcPr>
            <w:tcW w:w="2200" w:type="dxa"/>
          </w:tcPr>
          <w:p w14:paraId="3C7B208C" w14:textId="77777777" w:rsidR="0057563D" w:rsidRPr="0057563D" w:rsidRDefault="0057563D" w:rsidP="00971FA8">
            <w:pPr>
              <w:rPr>
                <w:bCs/>
              </w:rPr>
            </w:pPr>
            <w:r w:rsidRPr="0057563D">
              <w:rPr>
                <w:bCs/>
              </w:rPr>
              <w:t>Związek Powiatów Polskich</w:t>
            </w:r>
          </w:p>
        </w:tc>
        <w:tc>
          <w:tcPr>
            <w:tcW w:w="2686" w:type="dxa"/>
          </w:tcPr>
          <w:p w14:paraId="5A9C7ED0" w14:textId="77777777" w:rsidR="0057563D" w:rsidRDefault="00777B1A" w:rsidP="00971FA8">
            <w:r w:rsidRPr="00777B1A">
              <w:t xml:space="preserve">Działanie III.1.3. e-Kompetencje w obszarze </w:t>
            </w:r>
            <w:proofErr w:type="spellStart"/>
            <w:r w:rsidRPr="00777B1A">
              <w:t>cyberbezpieczeństwa</w:t>
            </w:r>
            <w:proofErr w:type="spellEnd"/>
            <w:r w:rsidRPr="00777B1A">
              <w:t xml:space="preserve">  s. 79</w:t>
            </w:r>
          </w:p>
        </w:tc>
        <w:tc>
          <w:tcPr>
            <w:tcW w:w="4737" w:type="dxa"/>
          </w:tcPr>
          <w:p w14:paraId="40B9D73E" w14:textId="77777777" w:rsidR="00777B1A" w:rsidRPr="00777B1A" w:rsidRDefault="00777B1A" w:rsidP="00971FA8">
            <w:pPr>
              <w:spacing w:before="72"/>
              <w:ind w:right="504"/>
              <w:rPr>
                <w:rFonts w:cstheme="minorHAnsi"/>
                <w:color w:val="000000"/>
              </w:rPr>
            </w:pPr>
            <w:r w:rsidRPr="00777B1A">
              <w:rPr>
                <w:rFonts w:cstheme="minorHAnsi"/>
                <w:color w:val="000000"/>
              </w:rPr>
              <w:t xml:space="preserve">W celu działania </w:t>
            </w:r>
          </w:p>
          <w:p w14:paraId="34832BA8" w14:textId="77777777" w:rsidR="00777B1A" w:rsidRPr="00777B1A" w:rsidRDefault="00777B1A" w:rsidP="00971FA8">
            <w:pPr>
              <w:spacing w:before="72"/>
              <w:ind w:right="504"/>
              <w:rPr>
                <w:rFonts w:cstheme="minorHAnsi"/>
                <w:color w:val="000000"/>
              </w:rPr>
            </w:pPr>
            <w:r w:rsidRPr="00777B1A">
              <w:rPr>
                <w:rFonts w:cstheme="minorHAnsi"/>
                <w:color w:val="000000"/>
              </w:rPr>
              <w:t xml:space="preserve">- uzupełnić o NGO, </w:t>
            </w:r>
          </w:p>
          <w:p w14:paraId="272EA679" w14:textId="77777777" w:rsidR="0057563D" w:rsidRDefault="00777B1A" w:rsidP="00971FA8">
            <w:pPr>
              <w:spacing w:before="72"/>
              <w:ind w:right="504"/>
              <w:rPr>
                <w:rFonts w:cstheme="minorHAnsi"/>
                <w:color w:val="000000"/>
              </w:rPr>
            </w:pPr>
            <w:r w:rsidRPr="00777B1A">
              <w:rPr>
                <w:rFonts w:cstheme="minorHAnsi"/>
                <w:color w:val="000000"/>
              </w:rPr>
              <w:t>- zmienić słowo na „osoby zatrudnione”</w:t>
            </w:r>
            <w:r>
              <w:rPr>
                <w:rFonts w:cstheme="minorHAnsi"/>
                <w:color w:val="000000"/>
              </w:rPr>
              <w:t>.</w:t>
            </w:r>
          </w:p>
          <w:p w14:paraId="43B52CA6" w14:textId="77777777" w:rsidR="00777B1A" w:rsidRPr="00777B1A" w:rsidRDefault="00777B1A" w:rsidP="00971FA8">
            <w:pPr>
              <w:spacing w:before="72"/>
              <w:ind w:right="504"/>
              <w:rPr>
                <w:rFonts w:cstheme="minorHAnsi"/>
                <w:color w:val="000000"/>
              </w:rPr>
            </w:pPr>
            <w:r>
              <w:rPr>
                <w:rFonts w:cstheme="minorHAnsi"/>
                <w:color w:val="000000"/>
              </w:rPr>
              <w:t xml:space="preserve">Uzasadnienie: </w:t>
            </w:r>
            <w:r w:rsidRPr="00777B1A">
              <w:rPr>
                <w:rFonts w:cstheme="minorHAnsi"/>
                <w:color w:val="000000"/>
              </w:rPr>
              <w:t xml:space="preserve">NGO realizują szereg zadań na rzecz sektora publicznego. W przypadku </w:t>
            </w:r>
            <w:r w:rsidRPr="00777B1A">
              <w:rPr>
                <w:rFonts w:cstheme="minorHAnsi"/>
                <w:color w:val="000000"/>
              </w:rPr>
              <w:lastRenderedPageBreak/>
              <w:t xml:space="preserve">NGO nie prowadzących działalności gospodarczej, zostaną one wyłączone z Działania. </w:t>
            </w:r>
          </w:p>
          <w:p w14:paraId="187EBB17" w14:textId="77777777" w:rsidR="00777B1A" w:rsidRPr="00C7370A" w:rsidRDefault="00777B1A" w:rsidP="00971FA8">
            <w:pPr>
              <w:spacing w:before="72"/>
              <w:ind w:right="504"/>
              <w:rPr>
                <w:rFonts w:cstheme="minorHAnsi"/>
                <w:color w:val="000000"/>
              </w:rPr>
            </w:pPr>
            <w:r w:rsidRPr="00777B1A">
              <w:rPr>
                <w:rFonts w:cstheme="minorHAnsi"/>
                <w:color w:val="000000"/>
              </w:rPr>
              <w:t>Działaniami edukacyjnymi powinny zostać objęte również inne osoby niż pracownicy (np. osoby samozatrudnione, właściciele przedsiębiorstw, osoby zatrudnione na podstawie umów cywilnoprawnych, w przypadku NGO osoby pracujące na rzecz tych organizacji społecznie lub na podstawie umowy o wolontariat itp.)</w:t>
            </w:r>
          </w:p>
        </w:tc>
        <w:tc>
          <w:tcPr>
            <w:tcW w:w="3638" w:type="dxa"/>
          </w:tcPr>
          <w:p w14:paraId="72620602" w14:textId="77777777" w:rsidR="00EC3FD7" w:rsidRDefault="00EC3FD7" w:rsidP="00971FA8">
            <w:r>
              <w:lastRenderedPageBreak/>
              <w:t>Uwaga nie</w:t>
            </w:r>
            <w:r w:rsidR="00AA637B" w:rsidRPr="00AA637B">
              <w:t>uwzględnion</w:t>
            </w:r>
            <w:r>
              <w:t>a</w:t>
            </w:r>
            <w:r w:rsidR="00AA637B" w:rsidRPr="00AA637B">
              <w:t xml:space="preserve">. </w:t>
            </w:r>
          </w:p>
          <w:p w14:paraId="50DC3294" w14:textId="4A2E6EEB" w:rsidR="0057563D" w:rsidRDefault="00777B1A" w:rsidP="00971FA8">
            <w:r w:rsidRPr="00777B1A">
              <w:t xml:space="preserve">Ze względu na zaawansowany stan prac nad programem Fundusze Europejskie na Rozwój Cyfrowy </w:t>
            </w:r>
            <w:r w:rsidR="00AA637B">
              <w:t xml:space="preserve">2021-2027 nie jest możliwe uwzględnienie zgłoszonej uwagi. </w:t>
            </w:r>
          </w:p>
        </w:tc>
      </w:tr>
      <w:tr w:rsidR="00777B1A" w14:paraId="396B5E03" w14:textId="77777777" w:rsidTr="00681E52">
        <w:tc>
          <w:tcPr>
            <w:tcW w:w="768" w:type="dxa"/>
            <w:vAlign w:val="center"/>
          </w:tcPr>
          <w:p w14:paraId="051F5FB6" w14:textId="77777777" w:rsidR="00777B1A" w:rsidRDefault="00777B1A" w:rsidP="00971FA8">
            <w:pPr>
              <w:pStyle w:val="Akapitzlist"/>
              <w:numPr>
                <w:ilvl w:val="0"/>
                <w:numId w:val="1"/>
              </w:numPr>
            </w:pPr>
          </w:p>
        </w:tc>
        <w:tc>
          <w:tcPr>
            <w:tcW w:w="2200" w:type="dxa"/>
          </w:tcPr>
          <w:p w14:paraId="1FA76C43" w14:textId="77777777" w:rsidR="00777B1A" w:rsidRPr="0057563D" w:rsidRDefault="00777B1A" w:rsidP="00971FA8">
            <w:pPr>
              <w:rPr>
                <w:bCs/>
              </w:rPr>
            </w:pPr>
            <w:r w:rsidRPr="00777B1A">
              <w:rPr>
                <w:bCs/>
              </w:rPr>
              <w:t>Związek Powiatów Polskich</w:t>
            </w:r>
          </w:p>
        </w:tc>
        <w:tc>
          <w:tcPr>
            <w:tcW w:w="2686" w:type="dxa"/>
          </w:tcPr>
          <w:p w14:paraId="74F10115" w14:textId="77777777" w:rsidR="00777B1A" w:rsidRPr="00777B1A" w:rsidRDefault="00777B1A" w:rsidP="00971FA8">
            <w:r w:rsidRPr="00777B1A">
              <w:t>Działanie III.3.8 i III.3.9. s. 90-91</w:t>
            </w:r>
          </w:p>
        </w:tc>
        <w:tc>
          <w:tcPr>
            <w:tcW w:w="4737" w:type="dxa"/>
          </w:tcPr>
          <w:p w14:paraId="5CC36C0D" w14:textId="77777777" w:rsidR="00777B1A" w:rsidRDefault="00777B1A" w:rsidP="00971FA8">
            <w:pPr>
              <w:spacing w:before="72"/>
              <w:ind w:right="504"/>
              <w:rPr>
                <w:rFonts w:cstheme="minorHAnsi"/>
                <w:color w:val="000000"/>
              </w:rPr>
            </w:pPr>
            <w:r w:rsidRPr="00777B1A">
              <w:rPr>
                <w:rFonts w:cstheme="minorHAnsi"/>
                <w:color w:val="000000"/>
              </w:rPr>
              <w:t>Pytanie czy zakres treściowy działań szkoleniowych dla służby cywilnej i pracowników JST będzie tożsamy czy różny? Opisy obu zadań różnią się.</w:t>
            </w:r>
          </w:p>
          <w:p w14:paraId="50151E71" w14:textId="77777777" w:rsidR="00777B1A" w:rsidRPr="00C7370A" w:rsidRDefault="00777B1A" w:rsidP="00971FA8">
            <w:pPr>
              <w:spacing w:before="72"/>
              <w:ind w:right="504"/>
              <w:rPr>
                <w:rFonts w:cstheme="minorHAnsi"/>
                <w:color w:val="000000"/>
              </w:rPr>
            </w:pPr>
            <w:r>
              <w:rPr>
                <w:rFonts w:cstheme="minorHAnsi"/>
                <w:color w:val="000000"/>
              </w:rPr>
              <w:t xml:space="preserve">Uzasadnienie: </w:t>
            </w:r>
            <w:r w:rsidRPr="00777B1A">
              <w:rPr>
                <w:rFonts w:cstheme="minorHAnsi"/>
                <w:color w:val="000000"/>
              </w:rPr>
              <w:t>Z opisu działań można odnieść wrażenie, że zakres szkoleń dla członków korpusu służby cywilnej będzie bogatszy i bardziej uwzględniający praktyczne aspekty dostępności cyfrowej. Tymczasem z punktu widzenia obywatela biorąc pod uwagę zasoby informacyjne jakie są udostępniane na stronach BIP JST wydaje się, że z punktu widzenia przeciętnego obywatela tutaj powinien być położony największy nacisk na jakość, prezentację i czytelność serwisów.</w:t>
            </w:r>
          </w:p>
        </w:tc>
        <w:tc>
          <w:tcPr>
            <w:tcW w:w="3638" w:type="dxa"/>
          </w:tcPr>
          <w:p w14:paraId="04145C0B" w14:textId="71CF54FA" w:rsidR="00EC3FD7" w:rsidRDefault="00EC3FD7" w:rsidP="00971FA8">
            <w:r>
              <w:t>Uwaga wyjaśniona.</w:t>
            </w:r>
          </w:p>
          <w:p w14:paraId="553DA838" w14:textId="0F171885" w:rsidR="00777B1A" w:rsidRDefault="00777B1A" w:rsidP="00971FA8">
            <w:r w:rsidRPr="00777B1A">
              <w:t>Zakres szkoleń i grupa docelowa  różni się. Szkolenia dla pracowników służby cywilnej są skierowane głownie do redaktorów merytorycznych i technicznych. Projekt kierowany do JST dotyczy potencjalnie wszystkich pracowników (nie tylko redaktorów), dodatkowo powstaną materiały szkoleniowe, internetowy poradnik dla JST dotyczący dostępności cyfrowej oraz 2 narzędzia wspierające monitorowanie dostępności cyfrowej: badające dostępność stron internetowych i aplikacji mobilnych.</w:t>
            </w:r>
          </w:p>
        </w:tc>
      </w:tr>
      <w:tr w:rsidR="00777B1A" w14:paraId="687603B1" w14:textId="77777777" w:rsidTr="00681E52">
        <w:tc>
          <w:tcPr>
            <w:tcW w:w="768" w:type="dxa"/>
            <w:vAlign w:val="center"/>
          </w:tcPr>
          <w:p w14:paraId="6702619E" w14:textId="77777777" w:rsidR="00777B1A" w:rsidRDefault="00777B1A" w:rsidP="00971FA8">
            <w:pPr>
              <w:pStyle w:val="Akapitzlist"/>
              <w:numPr>
                <w:ilvl w:val="0"/>
                <w:numId w:val="1"/>
              </w:numPr>
            </w:pPr>
          </w:p>
        </w:tc>
        <w:tc>
          <w:tcPr>
            <w:tcW w:w="2200" w:type="dxa"/>
          </w:tcPr>
          <w:p w14:paraId="6167E401" w14:textId="77777777" w:rsidR="00777B1A" w:rsidRPr="0057563D" w:rsidRDefault="00777B1A" w:rsidP="00971FA8">
            <w:pPr>
              <w:rPr>
                <w:bCs/>
              </w:rPr>
            </w:pPr>
            <w:r w:rsidRPr="00777B1A">
              <w:rPr>
                <w:bCs/>
              </w:rPr>
              <w:t>Związek Powiatów Polskich</w:t>
            </w:r>
          </w:p>
        </w:tc>
        <w:tc>
          <w:tcPr>
            <w:tcW w:w="2686" w:type="dxa"/>
          </w:tcPr>
          <w:p w14:paraId="69A2F2FF" w14:textId="77777777" w:rsidR="00777B1A" w:rsidRPr="00777B1A" w:rsidRDefault="00777B1A" w:rsidP="00971FA8">
            <w:r w:rsidRPr="00777B1A">
              <w:t>Działanie III.3.12</w:t>
            </w:r>
          </w:p>
          <w:p w14:paraId="2B510B69" w14:textId="77777777" w:rsidR="00777B1A" w:rsidRPr="00777B1A" w:rsidRDefault="00777B1A" w:rsidP="00971FA8">
            <w:r w:rsidRPr="00777B1A">
              <w:t>Cyfryzacja GOK-ów  s. 92</w:t>
            </w:r>
          </w:p>
        </w:tc>
        <w:tc>
          <w:tcPr>
            <w:tcW w:w="4737" w:type="dxa"/>
          </w:tcPr>
          <w:p w14:paraId="5F2F8EC3" w14:textId="77777777" w:rsidR="00777B1A" w:rsidRDefault="00777B1A" w:rsidP="00971FA8">
            <w:pPr>
              <w:spacing w:before="72"/>
              <w:ind w:right="504"/>
              <w:rPr>
                <w:rFonts w:cstheme="minorHAnsi"/>
                <w:color w:val="000000"/>
              </w:rPr>
            </w:pPr>
            <w:r w:rsidRPr="00777B1A">
              <w:rPr>
                <w:rFonts w:cstheme="minorHAnsi"/>
                <w:color w:val="000000"/>
              </w:rPr>
              <w:t>Zmienić opis działania i cel tak aby uwzględniał również powiatowe centra kultury.</w:t>
            </w:r>
          </w:p>
          <w:p w14:paraId="3E84C3F4" w14:textId="77777777" w:rsidR="00777B1A" w:rsidRPr="00C7370A" w:rsidRDefault="00777B1A" w:rsidP="00971FA8">
            <w:pPr>
              <w:spacing w:before="72"/>
              <w:ind w:right="504"/>
              <w:rPr>
                <w:rFonts w:cstheme="minorHAnsi"/>
                <w:color w:val="000000"/>
              </w:rPr>
            </w:pPr>
            <w:r>
              <w:rPr>
                <w:rFonts w:cstheme="minorHAnsi"/>
                <w:color w:val="000000"/>
              </w:rPr>
              <w:t xml:space="preserve">Uzasadnienie: </w:t>
            </w:r>
            <w:r w:rsidRPr="00777B1A">
              <w:rPr>
                <w:rFonts w:cstheme="minorHAnsi"/>
                <w:color w:val="000000"/>
              </w:rPr>
              <w:t xml:space="preserve">Powiaty również prowadzą instytucje kultury o zakresie działania podobnym do GOK-ów, wypełniając lukę, </w:t>
            </w:r>
            <w:r w:rsidRPr="00777B1A">
              <w:rPr>
                <w:rFonts w:cstheme="minorHAnsi"/>
                <w:color w:val="000000"/>
              </w:rPr>
              <w:lastRenderedPageBreak/>
              <w:t>której z różnych przyczyn (finansowych, lokalowych) nie są w stanie zapełnić same gminy.</w:t>
            </w:r>
          </w:p>
        </w:tc>
        <w:tc>
          <w:tcPr>
            <w:tcW w:w="3638" w:type="dxa"/>
          </w:tcPr>
          <w:p w14:paraId="7C6723B1" w14:textId="77777777" w:rsidR="00EC3FD7" w:rsidRDefault="00545148" w:rsidP="00971FA8">
            <w:r>
              <w:lastRenderedPageBreak/>
              <w:t>U</w:t>
            </w:r>
            <w:r w:rsidR="00EC3FD7">
              <w:t>waga u</w:t>
            </w:r>
            <w:r>
              <w:t>względnion</w:t>
            </w:r>
            <w:r w:rsidR="00EC3FD7">
              <w:t>a</w:t>
            </w:r>
            <w:r>
              <w:t xml:space="preserve"> częściowo. </w:t>
            </w:r>
          </w:p>
          <w:p w14:paraId="065E3DD0" w14:textId="1CB59022" w:rsidR="00777B1A" w:rsidRDefault="00777B1A" w:rsidP="00971FA8">
            <w:r w:rsidRPr="00777B1A">
              <w:t>W projekcie nie są przewidywane kolejne nabory. Sugestia zostanie wzięta pod uwagę przy planowaniu kolejnych tego typu działań.</w:t>
            </w:r>
          </w:p>
        </w:tc>
      </w:tr>
    </w:tbl>
    <w:p w14:paraId="127880CF" w14:textId="77777777" w:rsidR="00517F51" w:rsidRDefault="00517F51"/>
    <w:sectPr w:rsidR="00517F51" w:rsidSect="00E05F9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BFDDF"/>
    <w:multiLevelType w:val="hybridMultilevel"/>
    <w:tmpl w:val="93CEBC54"/>
    <w:lvl w:ilvl="0" w:tplc="547EF136">
      <w:start w:val="1"/>
      <w:numFmt w:val="bullet"/>
      <w:lvlText w:val="-"/>
      <w:lvlJc w:val="left"/>
      <w:pPr>
        <w:ind w:left="720" w:hanging="360"/>
      </w:pPr>
      <w:rPr>
        <w:rFonts w:ascii="Calibri" w:hAnsi="Calibri" w:cs="Times New Roman" w:hint="default"/>
      </w:rPr>
    </w:lvl>
    <w:lvl w:ilvl="1" w:tplc="640A4180">
      <w:start w:val="1"/>
      <w:numFmt w:val="bullet"/>
      <w:lvlText w:val="o"/>
      <w:lvlJc w:val="left"/>
      <w:pPr>
        <w:ind w:left="1440" w:hanging="360"/>
      </w:pPr>
      <w:rPr>
        <w:rFonts w:ascii="Courier New" w:hAnsi="Courier New" w:cs="Times New Roman" w:hint="default"/>
      </w:rPr>
    </w:lvl>
    <w:lvl w:ilvl="2" w:tplc="21564F72">
      <w:start w:val="1"/>
      <w:numFmt w:val="bullet"/>
      <w:lvlText w:val=""/>
      <w:lvlJc w:val="left"/>
      <w:pPr>
        <w:ind w:left="2160" w:hanging="360"/>
      </w:pPr>
      <w:rPr>
        <w:rFonts w:ascii="Wingdings" w:hAnsi="Wingdings" w:hint="default"/>
      </w:rPr>
    </w:lvl>
    <w:lvl w:ilvl="3" w:tplc="4830AEAA">
      <w:start w:val="1"/>
      <w:numFmt w:val="bullet"/>
      <w:lvlText w:val=""/>
      <w:lvlJc w:val="left"/>
      <w:pPr>
        <w:ind w:left="2880" w:hanging="360"/>
      </w:pPr>
      <w:rPr>
        <w:rFonts w:ascii="Symbol" w:hAnsi="Symbol" w:hint="default"/>
      </w:rPr>
    </w:lvl>
    <w:lvl w:ilvl="4" w:tplc="3E385ABC">
      <w:start w:val="1"/>
      <w:numFmt w:val="bullet"/>
      <w:lvlText w:val="o"/>
      <w:lvlJc w:val="left"/>
      <w:pPr>
        <w:ind w:left="3600" w:hanging="360"/>
      </w:pPr>
      <w:rPr>
        <w:rFonts w:ascii="Courier New" w:hAnsi="Courier New" w:cs="Times New Roman" w:hint="default"/>
      </w:rPr>
    </w:lvl>
    <w:lvl w:ilvl="5" w:tplc="3496BA00">
      <w:start w:val="1"/>
      <w:numFmt w:val="bullet"/>
      <w:lvlText w:val=""/>
      <w:lvlJc w:val="left"/>
      <w:pPr>
        <w:ind w:left="4320" w:hanging="360"/>
      </w:pPr>
      <w:rPr>
        <w:rFonts w:ascii="Wingdings" w:hAnsi="Wingdings" w:hint="default"/>
      </w:rPr>
    </w:lvl>
    <w:lvl w:ilvl="6" w:tplc="3EACC616">
      <w:start w:val="1"/>
      <w:numFmt w:val="bullet"/>
      <w:lvlText w:val=""/>
      <w:lvlJc w:val="left"/>
      <w:pPr>
        <w:ind w:left="5040" w:hanging="360"/>
      </w:pPr>
      <w:rPr>
        <w:rFonts w:ascii="Symbol" w:hAnsi="Symbol" w:hint="default"/>
      </w:rPr>
    </w:lvl>
    <w:lvl w:ilvl="7" w:tplc="D2EEA0B2">
      <w:start w:val="1"/>
      <w:numFmt w:val="bullet"/>
      <w:lvlText w:val="o"/>
      <w:lvlJc w:val="left"/>
      <w:pPr>
        <w:ind w:left="5760" w:hanging="360"/>
      </w:pPr>
      <w:rPr>
        <w:rFonts w:ascii="Courier New" w:hAnsi="Courier New" w:cs="Times New Roman" w:hint="default"/>
      </w:rPr>
    </w:lvl>
    <w:lvl w:ilvl="8" w:tplc="3D58DD4E">
      <w:start w:val="1"/>
      <w:numFmt w:val="bullet"/>
      <w:lvlText w:val=""/>
      <w:lvlJc w:val="left"/>
      <w:pPr>
        <w:ind w:left="6480" w:hanging="360"/>
      </w:pPr>
      <w:rPr>
        <w:rFonts w:ascii="Wingdings" w:hAnsi="Wingdings" w:hint="default"/>
      </w:rPr>
    </w:lvl>
  </w:abstractNum>
  <w:abstractNum w:abstractNumId="1" w15:restartNumberingAfterBreak="0">
    <w:nsid w:val="1646427A"/>
    <w:multiLevelType w:val="multilevel"/>
    <w:tmpl w:val="F6DA8E24"/>
    <w:lvl w:ilvl="0">
      <w:start w:val="1"/>
      <w:numFmt w:val="decimal"/>
      <w:lvlText w:val="I.4.%1."/>
      <w:lvlJc w:val="left"/>
      <w:pPr>
        <w:ind w:left="0" w:firstLine="207"/>
      </w:pPr>
      <w:rPr>
        <w:rFonts w:hint="default"/>
        <w:u w:color="D9E2F3" w:themeColor="accent5" w:themeTint="33"/>
      </w:rPr>
    </w:lvl>
    <w:lvl w:ilvl="1">
      <w:start w:val="1"/>
      <w:numFmt w:val="lowerLetter"/>
      <w:lvlText w:val="%2)"/>
      <w:lvlJc w:val="left"/>
      <w:pPr>
        <w:ind w:left="360" w:hanging="360"/>
      </w:pPr>
      <w:rPr>
        <w:rFonts w:hint="default"/>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2597592E"/>
    <w:multiLevelType w:val="hybridMultilevel"/>
    <w:tmpl w:val="E566055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DC55F62"/>
    <w:multiLevelType w:val="hybridMultilevel"/>
    <w:tmpl w:val="8FA641FC"/>
    <w:lvl w:ilvl="0" w:tplc="A7B084C0">
      <w:start w:val="1"/>
      <w:numFmt w:val="bullet"/>
      <w:lvlText w:val="•"/>
      <w:lvlJc w:val="left"/>
      <w:pPr>
        <w:ind w:left="360" w:hanging="360"/>
      </w:pPr>
      <w:rPr>
        <w:rFonts w:ascii="Times New Roman" w:hAnsi="Times New Roman" w:hint="default"/>
      </w:rPr>
    </w:lvl>
    <w:lvl w:ilvl="1" w:tplc="128E235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4F36B17"/>
    <w:multiLevelType w:val="hybridMultilevel"/>
    <w:tmpl w:val="6234C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F4A2959"/>
    <w:multiLevelType w:val="hybridMultilevel"/>
    <w:tmpl w:val="E566055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7122769B"/>
    <w:multiLevelType w:val="hybridMultilevel"/>
    <w:tmpl w:val="EAB81656"/>
    <w:lvl w:ilvl="0" w:tplc="A7B084C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5B02A49"/>
    <w:multiLevelType w:val="hybridMultilevel"/>
    <w:tmpl w:val="D068B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5"/>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094"/>
    <w:rsid w:val="000159BB"/>
    <w:rsid w:val="000351B9"/>
    <w:rsid w:val="00056C03"/>
    <w:rsid w:val="00077DF9"/>
    <w:rsid w:val="000907F2"/>
    <w:rsid w:val="000C4183"/>
    <w:rsid w:val="000D1E8B"/>
    <w:rsid w:val="000D2313"/>
    <w:rsid w:val="000D79B3"/>
    <w:rsid w:val="000E60E4"/>
    <w:rsid w:val="000F2E63"/>
    <w:rsid w:val="00107B21"/>
    <w:rsid w:val="001139EC"/>
    <w:rsid w:val="00132DAF"/>
    <w:rsid w:val="0014054D"/>
    <w:rsid w:val="00142192"/>
    <w:rsid w:val="001904EF"/>
    <w:rsid w:val="001C6A71"/>
    <w:rsid w:val="001D0419"/>
    <w:rsid w:val="001D439D"/>
    <w:rsid w:val="001D4A0F"/>
    <w:rsid w:val="001E7EC9"/>
    <w:rsid w:val="00217CBF"/>
    <w:rsid w:val="002D57C1"/>
    <w:rsid w:val="00304140"/>
    <w:rsid w:val="00310E73"/>
    <w:rsid w:val="003147E7"/>
    <w:rsid w:val="003237AD"/>
    <w:rsid w:val="00334F8C"/>
    <w:rsid w:val="0034532A"/>
    <w:rsid w:val="00350644"/>
    <w:rsid w:val="00362534"/>
    <w:rsid w:val="00374E85"/>
    <w:rsid w:val="00400E25"/>
    <w:rsid w:val="00457570"/>
    <w:rsid w:val="00474912"/>
    <w:rsid w:val="004A38D1"/>
    <w:rsid w:val="004C2023"/>
    <w:rsid w:val="004C7E33"/>
    <w:rsid w:val="004D7659"/>
    <w:rsid w:val="005062AE"/>
    <w:rsid w:val="00513D12"/>
    <w:rsid w:val="00517F51"/>
    <w:rsid w:val="00527DAD"/>
    <w:rsid w:val="00530E00"/>
    <w:rsid w:val="00541901"/>
    <w:rsid w:val="00545148"/>
    <w:rsid w:val="00547AC2"/>
    <w:rsid w:val="005677D8"/>
    <w:rsid w:val="0057563D"/>
    <w:rsid w:val="00577E23"/>
    <w:rsid w:val="005834FB"/>
    <w:rsid w:val="006069B0"/>
    <w:rsid w:val="00624B62"/>
    <w:rsid w:val="00627052"/>
    <w:rsid w:val="00645067"/>
    <w:rsid w:val="00681E52"/>
    <w:rsid w:val="00686752"/>
    <w:rsid w:val="006A1826"/>
    <w:rsid w:val="006B5AFC"/>
    <w:rsid w:val="006E771F"/>
    <w:rsid w:val="006F5C57"/>
    <w:rsid w:val="00712DA3"/>
    <w:rsid w:val="00736FCA"/>
    <w:rsid w:val="00760A87"/>
    <w:rsid w:val="00774096"/>
    <w:rsid w:val="00777468"/>
    <w:rsid w:val="00777B1A"/>
    <w:rsid w:val="007B5CAF"/>
    <w:rsid w:val="007B6DD1"/>
    <w:rsid w:val="007F1C7A"/>
    <w:rsid w:val="00815FC6"/>
    <w:rsid w:val="008317C4"/>
    <w:rsid w:val="00841BA2"/>
    <w:rsid w:val="008657D1"/>
    <w:rsid w:val="008A2C2D"/>
    <w:rsid w:val="008A59D5"/>
    <w:rsid w:val="008A6BCD"/>
    <w:rsid w:val="008B5572"/>
    <w:rsid w:val="008C26FF"/>
    <w:rsid w:val="008C3934"/>
    <w:rsid w:val="00924F2E"/>
    <w:rsid w:val="009319F3"/>
    <w:rsid w:val="00933C5B"/>
    <w:rsid w:val="00943AAC"/>
    <w:rsid w:val="00971FA8"/>
    <w:rsid w:val="00985FA6"/>
    <w:rsid w:val="009962EC"/>
    <w:rsid w:val="009B7799"/>
    <w:rsid w:val="00A722CB"/>
    <w:rsid w:val="00AA637B"/>
    <w:rsid w:val="00AB26A3"/>
    <w:rsid w:val="00AB6EBB"/>
    <w:rsid w:val="00AD3FB2"/>
    <w:rsid w:val="00AF2BAE"/>
    <w:rsid w:val="00AF4210"/>
    <w:rsid w:val="00AF4966"/>
    <w:rsid w:val="00B302CE"/>
    <w:rsid w:val="00B50FF0"/>
    <w:rsid w:val="00BD75E9"/>
    <w:rsid w:val="00BF69A6"/>
    <w:rsid w:val="00C029B1"/>
    <w:rsid w:val="00C65610"/>
    <w:rsid w:val="00C7370A"/>
    <w:rsid w:val="00CB34A5"/>
    <w:rsid w:val="00D03094"/>
    <w:rsid w:val="00D0326D"/>
    <w:rsid w:val="00D04FD7"/>
    <w:rsid w:val="00D27DA7"/>
    <w:rsid w:val="00D3747D"/>
    <w:rsid w:val="00D43B3D"/>
    <w:rsid w:val="00D67F01"/>
    <w:rsid w:val="00D709F2"/>
    <w:rsid w:val="00D90DDD"/>
    <w:rsid w:val="00D93F87"/>
    <w:rsid w:val="00E047E0"/>
    <w:rsid w:val="00E05F93"/>
    <w:rsid w:val="00E50040"/>
    <w:rsid w:val="00EA6F02"/>
    <w:rsid w:val="00EC1EA8"/>
    <w:rsid w:val="00EC3FD7"/>
    <w:rsid w:val="00EE198F"/>
    <w:rsid w:val="00F106CF"/>
    <w:rsid w:val="00F158C9"/>
    <w:rsid w:val="00F15FA3"/>
    <w:rsid w:val="00F644BB"/>
    <w:rsid w:val="00FA48B9"/>
    <w:rsid w:val="00FB1835"/>
    <w:rsid w:val="00FB6764"/>
    <w:rsid w:val="00FD00FA"/>
    <w:rsid w:val="00FE4FA5"/>
    <w:rsid w:val="00FF12B4"/>
    <w:rsid w:val="00FF5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70808"/>
  <w15:chartTrackingRefBased/>
  <w15:docId w15:val="{435B4CEA-D4C0-4DB7-A46F-E266A1B9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83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F4210"/>
    <w:pPr>
      <w:ind w:left="720"/>
      <w:contextualSpacing/>
    </w:pPr>
  </w:style>
  <w:style w:type="character" w:styleId="Hipercze">
    <w:name w:val="Hyperlink"/>
    <w:basedOn w:val="Domylnaczcionkaakapitu"/>
    <w:uiPriority w:val="99"/>
    <w:unhideWhenUsed/>
    <w:rsid w:val="00577E23"/>
    <w:rPr>
      <w:color w:val="0563C1" w:themeColor="hyperlink"/>
      <w:u w:val="single"/>
    </w:rPr>
  </w:style>
  <w:style w:type="character" w:customStyle="1" w:styleId="hgkelc">
    <w:name w:val="hgkelc"/>
    <w:basedOn w:val="Domylnaczcionkaakapitu"/>
    <w:rsid w:val="005677D8"/>
  </w:style>
  <w:style w:type="paragraph" w:styleId="Tekstkomentarza">
    <w:name w:val="annotation text"/>
    <w:basedOn w:val="Normalny"/>
    <w:link w:val="TekstkomentarzaZnak"/>
    <w:uiPriority w:val="99"/>
    <w:semiHidden/>
    <w:unhideWhenUsed/>
    <w:rsid w:val="007F1C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1C7A"/>
    <w:rPr>
      <w:sz w:val="20"/>
      <w:szCs w:val="20"/>
    </w:rPr>
  </w:style>
  <w:style w:type="paragraph" w:styleId="Tekstdymka">
    <w:name w:val="Balloon Text"/>
    <w:basedOn w:val="Normalny"/>
    <w:link w:val="TekstdymkaZnak"/>
    <w:uiPriority w:val="99"/>
    <w:semiHidden/>
    <w:unhideWhenUsed/>
    <w:rsid w:val="000159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jp.pwn.pl/poradnia/haslo/Internet-czy-internet;228.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DA6BB-FB37-447A-96A5-F4972EE7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52</Pages>
  <Words>12262</Words>
  <Characters>73574</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85665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Justyna</dc:creator>
  <cp:keywords/>
  <dc:description/>
  <cp:lastModifiedBy>Kalinowski Przemysław</cp:lastModifiedBy>
  <cp:revision>7</cp:revision>
  <dcterms:created xsi:type="dcterms:W3CDTF">2022-11-08T08:40:00Z</dcterms:created>
  <dcterms:modified xsi:type="dcterms:W3CDTF">2022-11-10T08:07:00Z</dcterms:modified>
</cp:coreProperties>
</file>